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7E72F" w14:textId="77777777" w:rsidR="00CF49B9" w:rsidRDefault="00CF49B9" w:rsidP="00CF49B9">
      <w:pPr>
        <w:pStyle w:val="Ttulo2"/>
        <w:rPr>
          <w:i w:val="0"/>
        </w:rPr>
      </w:pPr>
      <w:bookmarkStart w:id="0" w:name="_Toc63251814"/>
    </w:p>
    <w:p w14:paraId="00BEDD71" w14:textId="21F7BD5A" w:rsidR="00CF49B9" w:rsidRPr="00A83EC4" w:rsidRDefault="00CF49B9" w:rsidP="00CF49B9">
      <w:pPr>
        <w:pStyle w:val="Ttulo2"/>
        <w:rPr>
          <w:i w:val="0"/>
        </w:rPr>
      </w:pPr>
      <w:r w:rsidRPr="00A83EC4">
        <w:rPr>
          <w:i w:val="0"/>
        </w:rPr>
        <w:t>ANEXO 5. FORMATO DE ASPECTOS RELEVANTES DE LA EVALUACIÓN (FARE)</w:t>
      </w:r>
      <w:bookmarkEnd w:id="0"/>
    </w:p>
    <w:p w14:paraId="3541EE86" w14:textId="77777777" w:rsidR="00CF49B9" w:rsidRDefault="00CF49B9" w:rsidP="00CF49B9">
      <w:pPr>
        <w:spacing w:after="0" w:line="240" w:lineRule="auto"/>
        <w:rPr>
          <w:rFonts w:ascii="Cambria" w:eastAsia="Cambria" w:hAnsi="Cambria" w:cs="Cambria"/>
          <w:b/>
          <w:i/>
        </w:rPr>
      </w:pPr>
    </w:p>
    <w:tbl>
      <w:tblPr>
        <w:tblStyle w:val="1"/>
        <w:tblW w:w="8941" w:type="dxa"/>
        <w:jc w:val="center"/>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1129"/>
        <w:gridCol w:w="1276"/>
        <w:gridCol w:w="2126"/>
        <w:gridCol w:w="1701"/>
        <w:gridCol w:w="443"/>
        <w:gridCol w:w="463"/>
        <w:gridCol w:w="1803"/>
      </w:tblGrid>
      <w:tr w:rsidR="00CF49B9" w14:paraId="5A631188" w14:textId="77777777" w:rsidTr="001422F7">
        <w:trPr>
          <w:trHeight w:val="583"/>
          <w:jc w:val="center"/>
        </w:trPr>
        <w:tc>
          <w:tcPr>
            <w:tcW w:w="2405" w:type="dxa"/>
            <w:gridSpan w:val="2"/>
            <w:shd w:val="clear" w:color="auto" w:fill="AEAAAA"/>
            <w:vAlign w:val="center"/>
          </w:tcPr>
          <w:p w14:paraId="3D68668B"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i/>
                <w:color w:val="FFFFFF"/>
                <w:sz w:val="16"/>
                <w:szCs w:val="16"/>
              </w:rPr>
            </w:pPr>
            <w:r>
              <w:rPr>
                <w:rFonts w:ascii="Cambria" w:eastAsia="Cambria" w:hAnsi="Cambria" w:cs="Cambria"/>
                <w:b/>
                <w:color w:val="FFFFFF"/>
                <w:sz w:val="16"/>
                <w:szCs w:val="16"/>
              </w:rPr>
              <w:t>Nombre de la evaluación:</w:t>
            </w:r>
          </w:p>
        </w:tc>
        <w:tc>
          <w:tcPr>
            <w:tcW w:w="6536" w:type="dxa"/>
            <w:gridSpan w:val="5"/>
            <w:shd w:val="clear" w:color="auto" w:fill="AEAAAA"/>
            <w:vAlign w:val="center"/>
          </w:tcPr>
          <w:p w14:paraId="6932BBFF" w14:textId="3F816D0B" w:rsidR="00CF49B9" w:rsidRDefault="00E8550D" w:rsidP="001422F7">
            <w:pPr>
              <w:pBdr>
                <w:top w:val="nil"/>
                <w:left w:val="nil"/>
                <w:bottom w:val="nil"/>
                <w:right w:val="nil"/>
                <w:between w:val="nil"/>
              </w:pBdr>
              <w:spacing w:before="20" w:after="0" w:line="240" w:lineRule="auto"/>
              <w:rPr>
                <w:rFonts w:ascii="Cambria" w:eastAsia="Cambria" w:hAnsi="Cambria" w:cs="Cambria"/>
                <w:color w:val="FFFFFF"/>
                <w:sz w:val="16"/>
                <w:szCs w:val="16"/>
              </w:rPr>
            </w:pPr>
            <w:r w:rsidRPr="00E8550D">
              <w:rPr>
                <w:rFonts w:ascii="Cambria" w:eastAsia="Cambria" w:hAnsi="Cambria" w:cs="Cambria"/>
                <w:color w:val="FFFFFF"/>
                <w:sz w:val="16"/>
                <w:szCs w:val="16"/>
              </w:rPr>
              <w:t>Evaluación de Procesos del Programa de Becas de Educación Básica para el Bienestar Benito Juárez</w:t>
            </w:r>
          </w:p>
        </w:tc>
      </w:tr>
      <w:tr w:rsidR="00CF49B9" w14:paraId="561909D9" w14:textId="77777777" w:rsidTr="001422F7">
        <w:trPr>
          <w:trHeight w:val="583"/>
          <w:jc w:val="center"/>
        </w:trPr>
        <w:tc>
          <w:tcPr>
            <w:tcW w:w="2405" w:type="dxa"/>
            <w:gridSpan w:val="2"/>
            <w:shd w:val="clear" w:color="auto" w:fill="auto"/>
            <w:vAlign w:val="center"/>
          </w:tcPr>
          <w:p w14:paraId="25A47DD4"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Objetivo de la evaluación:</w:t>
            </w:r>
          </w:p>
        </w:tc>
        <w:tc>
          <w:tcPr>
            <w:tcW w:w="6536" w:type="dxa"/>
            <w:gridSpan w:val="5"/>
            <w:shd w:val="clear" w:color="auto" w:fill="auto"/>
            <w:vAlign w:val="center"/>
          </w:tcPr>
          <w:p w14:paraId="327BE550" w14:textId="27778DA0" w:rsidR="00CF49B9" w:rsidRDefault="00B42C5C" w:rsidP="00B112D0">
            <w:pPr>
              <w:pBdr>
                <w:top w:val="nil"/>
                <w:left w:val="nil"/>
                <w:bottom w:val="nil"/>
                <w:right w:val="nil"/>
                <w:between w:val="nil"/>
              </w:pBdr>
              <w:spacing w:before="20" w:after="0" w:line="240" w:lineRule="auto"/>
              <w:jc w:val="both"/>
              <w:rPr>
                <w:rFonts w:ascii="Cambria" w:eastAsia="Cambria" w:hAnsi="Cambria" w:cs="Cambria"/>
                <w:color w:val="000000"/>
                <w:sz w:val="16"/>
                <w:szCs w:val="16"/>
              </w:rPr>
            </w:pPr>
            <w:r w:rsidRPr="00B42C5C">
              <w:rPr>
                <w:rFonts w:ascii="Cambria" w:eastAsia="Cambria" w:hAnsi="Cambria" w:cs="Cambria"/>
                <w:color w:val="000000"/>
                <w:sz w:val="16"/>
                <w:szCs w:val="16"/>
              </w:rPr>
              <w:t xml:space="preserve">Realizar un análisis sistemático de la gestión </w:t>
            </w:r>
            <w:r w:rsidRPr="009B2382">
              <w:rPr>
                <w:rFonts w:ascii="Cambria" w:eastAsia="Cambria" w:hAnsi="Cambria" w:cs="Cambria"/>
                <w:sz w:val="16"/>
                <w:szCs w:val="16"/>
              </w:rPr>
              <w:t xml:space="preserve">operativa </w:t>
            </w:r>
            <w:r w:rsidR="00B041D2" w:rsidRPr="009B2382">
              <w:rPr>
                <w:rFonts w:ascii="Cambria" w:eastAsia="Cambria" w:hAnsi="Cambria" w:cs="Cambria"/>
                <w:sz w:val="16"/>
                <w:szCs w:val="16"/>
              </w:rPr>
              <w:t>del</w:t>
            </w:r>
            <w:r w:rsidRPr="009B2382">
              <w:rPr>
                <w:rFonts w:ascii="Cambria" w:eastAsia="Cambria" w:hAnsi="Cambria" w:cs="Cambria"/>
                <w:sz w:val="16"/>
                <w:szCs w:val="16"/>
              </w:rPr>
              <w:t xml:space="preserve"> </w:t>
            </w:r>
            <w:r w:rsidR="0088018A" w:rsidRPr="005E15DD">
              <w:rPr>
                <w:rFonts w:ascii="Cambria" w:eastAsia="Cambria" w:hAnsi="Cambria" w:cs="Cambria"/>
                <w:b/>
                <w:bCs/>
                <w:sz w:val="16"/>
                <w:szCs w:val="16"/>
              </w:rPr>
              <w:t xml:space="preserve">Programa </w:t>
            </w:r>
            <w:r w:rsidR="005E15DD" w:rsidRPr="005E15DD">
              <w:rPr>
                <w:rFonts w:ascii="Cambria" w:eastAsia="Cambria" w:hAnsi="Cambria" w:cs="Cambria"/>
                <w:b/>
                <w:bCs/>
                <w:sz w:val="16"/>
                <w:szCs w:val="16"/>
              </w:rPr>
              <w:t>de Becas de Educación Básica para el Bienestar Benito Juárez</w:t>
            </w:r>
            <w:r w:rsidRPr="009B2382">
              <w:rPr>
                <w:rFonts w:ascii="Cambria" w:eastAsia="Cambria" w:hAnsi="Cambria" w:cs="Cambria"/>
                <w:sz w:val="16"/>
                <w:szCs w:val="16"/>
              </w:rPr>
              <w:t xml:space="preserve">, que permita valorar si dicha gestión cumple </w:t>
            </w:r>
            <w:r w:rsidRPr="00B42C5C">
              <w:rPr>
                <w:rFonts w:ascii="Cambria" w:eastAsia="Cambria" w:hAnsi="Cambria" w:cs="Cambria"/>
                <w:color w:val="000000"/>
                <w:sz w:val="16"/>
                <w:szCs w:val="16"/>
              </w:rPr>
              <w:t>con lo necesario para el logro de las metas y objetivos de</w:t>
            </w:r>
            <w:r w:rsidR="00B041D2">
              <w:rPr>
                <w:rFonts w:ascii="Cambria" w:eastAsia="Cambria" w:hAnsi="Cambria" w:cs="Cambria"/>
                <w:color w:val="000000"/>
                <w:sz w:val="16"/>
                <w:szCs w:val="16"/>
              </w:rPr>
              <w:t xml:space="preserve">l </w:t>
            </w:r>
            <w:r w:rsidR="00B04AE2">
              <w:rPr>
                <w:rFonts w:ascii="Cambria" w:eastAsia="Cambria" w:hAnsi="Cambria" w:cs="Cambria"/>
                <w:color w:val="000000"/>
                <w:sz w:val="16"/>
                <w:szCs w:val="16"/>
              </w:rPr>
              <w:t>Programa</w:t>
            </w:r>
            <w:r w:rsidRPr="00B42C5C">
              <w:rPr>
                <w:rFonts w:ascii="Cambria" w:eastAsia="Cambria" w:hAnsi="Cambria" w:cs="Cambria"/>
                <w:color w:val="000000"/>
                <w:sz w:val="16"/>
                <w:szCs w:val="16"/>
              </w:rPr>
              <w:t xml:space="preserve">. Así como, hacer recomendaciones que permitan la instrumentación de mejoras.  </w:t>
            </w:r>
          </w:p>
        </w:tc>
      </w:tr>
      <w:tr w:rsidR="00CF49B9" w14:paraId="54BAB56D" w14:textId="77777777" w:rsidTr="001422F7">
        <w:trPr>
          <w:trHeight w:val="583"/>
          <w:jc w:val="center"/>
        </w:trPr>
        <w:tc>
          <w:tcPr>
            <w:tcW w:w="2405" w:type="dxa"/>
            <w:gridSpan w:val="2"/>
            <w:shd w:val="clear" w:color="auto" w:fill="D9D9D9"/>
            <w:vAlign w:val="center"/>
          </w:tcPr>
          <w:p w14:paraId="199BB73B"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Tipo de evaluación: </w:t>
            </w:r>
          </w:p>
        </w:tc>
        <w:tc>
          <w:tcPr>
            <w:tcW w:w="3827" w:type="dxa"/>
            <w:gridSpan w:val="2"/>
            <w:shd w:val="clear" w:color="auto" w:fill="D9D9D9"/>
            <w:vAlign w:val="center"/>
          </w:tcPr>
          <w:p w14:paraId="05D10D68" w14:textId="59D526E6" w:rsidR="00CF49B9" w:rsidRDefault="00B041D2" w:rsidP="001422F7">
            <w:pPr>
              <w:pBdr>
                <w:top w:val="nil"/>
                <w:left w:val="nil"/>
                <w:bottom w:val="nil"/>
                <w:right w:val="nil"/>
                <w:between w:val="nil"/>
              </w:pBdr>
              <w:spacing w:before="20" w:after="0" w:line="240" w:lineRule="auto"/>
              <w:rPr>
                <w:rFonts w:ascii="Cambria" w:eastAsia="Cambria" w:hAnsi="Cambria" w:cs="Cambria"/>
                <w:color w:val="000000"/>
                <w:sz w:val="16"/>
                <w:szCs w:val="16"/>
              </w:rPr>
            </w:pPr>
            <w:r>
              <w:rPr>
                <w:rFonts w:ascii="Cambria" w:eastAsia="Cambria" w:hAnsi="Cambria" w:cs="Cambria"/>
                <w:color w:val="000000"/>
                <w:sz w:val="16"/>
                <w:szCs w:val="16"/>
              </w:rPr>
              <w:t>Evaluación de Procesos</w:t>
            </w:r>
          </w:p>
        </w:tc>
        <w:tc>
          <w:tcPr>
            <w:tcW w:w="906" w:type="dxa"/>
            <w:gridSpan w:val="2"/>
            <w:shd w:val="clear" w:color="auto" w:fill="D9D9D9"/>
            <w:vAlign w:val="center"/>
          </w:tcPr>
          <w:p w14:paraId="3FFC0062"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PAE: </w:t>
            </w:r>
          </w:p>
        </w:tc>
        <w:tc>
          <w:tcPr>
            <w:tcW w:w="1803" w:type="dxa"/>
            <w:shd w:val="clear" w:color="auto" w:fill="D9D9D9"/>
            <w:vAlign w:val="center"/>
          </w:tcPr>
          <w:p w14:paraId="41A792E2" w14:textId="7111873A" w:rsidR="00CF49B9" w:rsidRDefault="00B041D2" w:rsidP="001422F7">
            <w:pPr>
              <w:pBdr>
                <w:top w:val="nil"/>
                <w:left w:val="nil"/>
                <w:bottom w:val="nil"/>
                <w:right w:val="nil"/>
                <w:between w:val="nil"/>
              </w:pBdr>
              <w:spacing w:before="20" w:after="0" w:line="240" w:lineRule="auto"/>
              <w:rPr>
                <w:rFonts w:ascii="Cambria" w:eastAsia="Cambria" w:hAnsi="Cambria" w:cs="Cambria"/>
                <w:color w:val="000000"/>
                <w:sz w:val="16"/>
                <w:szCs w:val="16"/>
              </w:rPr>
            </w:pPr>
            <w:r>
              <w:rPr>
                <w:rFonts w:ascii="Cambria" w:eastAsia="Cambria" w:hAnsi="Cambria" w:cs="Cambria"/>
                <w:color w:val="000000"/>
                <w:sz w:val="16"/>
                <w:szCs w:val="16"/>
              </w:rPr>
              <w:t>2022</w:t>
            </w:r>
          </w:p>
        </w:tc>
      </w:tr>
      <w:tr w:rsidR="00CF49B9" w14:paraId="6431FB71" w14:textId="77777777" w:rsidTr="001422F7">
        <w:trPr>
          <w:trHeight w:val="583"/>
          <w:jc w:val="center"/>
        </w:trPr>
        <w:tc>
          <w:tcPr>
            <w:tcW w:w="1129" w:type="dxa"/>
            <w:shd w:val="clear" w:color="auto" w:fill="auto"/>
            <w:vAlign w:val="center"/>
          </w:tcPr>
          <w:p w14:paraId="19CF01D3" w14:textId="77777777" w:rsidR="00CF49B9" w:rsidRPr="00C16422" w:rsidRDefault="00CF49B9" w:rsidP="001422F7">
            <w:pPr>
              <w:pBdr>
                <w:top w:val="nil"/>
                <w:left w:val="nil"/>
                <w:bottom w:val="nil"/>
                <w:right w:val="nil"/>
                <w:between w:val="nil"/>
              </w:pBdr>
              <w:spacing w:after="0" w:line="240" w:lineRule="auto"/>
              <w:rPr>
                <w:rFonts w:ascii="Cambria" w:eastAsia="Cambria" w:hAnsi="Cambria" w:cs="Cambria"/>
                <w:b/>
                <w:sz w:val="16"/>
                <w:szCs w:val="16"/>
              </w:rPr>
            </w:pPr>
            <w:r w:rsidRPr="00C16422">
              <w:rPr>
                <w:rFonts w:ascii="Cambria" w:eastAsia="Cambria" w:hAnsi="Cambria" w:cs="Cambria"/>
                <w:b/>
                <w:sz w:val="16"/>
                <w:szCs w:val="16"/>
              </w:rPr>
              <w:t>Ramo:</w:t>
            </w:r>
          </w:p>
        </w:tc>
        <w:tc>
          <w:tcPr>
            <w:tcW w:w="7812" w:type="dxa"/>
            <w:gridSpan w:val="6"/>
            <w:shd w:val="clear" w:color="auto" w:fill="auto"/>
            <w:vAlign w:val="center"/>
          </w:tcPr>
          <w:p w14:paraId="3585AC5B" w14:textId="27C1B6E7" w:rsidR="00CF49B9" w:rsidRPr="00C16422" w:rsidRDefault="00532438" w:rsidP="001422F7">
            <w:pPr>
              <w:pBdr>
                <w:top w:val="nil"/>
                <w:left w:val="nil"/>
                <w:bottom w:val="nil"/>
                <w:right w:val="nil"/>
                <w:between w:val="nil"/>
              </w:pBdr>
              <w:spacing w:before="120" w:after="120" w:line="240" w:lineRule="auto"/>
              <w:rPr>
                <w:rFonts w:ascii="Cambria" w:eastAsia="Cambria" w:hAnsi="Cambria" w:cs="Cambria"/>
                <w:sz w:val="16"/>
                <w:szCs w:val="16"/>
              </w:rPr>
            </w:pPr>
            <w:r>
              <w:rPr>
                <w:rFonts w:ascii="Cambria" w:eastAsia="Cambria" w:hAnsi="Cambria" w:cs="Cambria"/>
                <w:sz w:val="16"/>
                <w:szCs w:val="16"/>
              </w:rPr>
              <w:t>11</w:t>
            </w:r>
            <w:r w:rsidR="00B041D2" w:rsidRPr="00C16422">
              <w:rPr>
                <w:rFonts w:ascii="Cambria" w:eastAsia="Cambria" w:hAnsi="Cambria" w:cs="Cambria"/>
                <w:sz w:val="16"/>
                <w:szCs w:val="16"/>
              </w:rPr>
              <w:t xml:space="preserve"> </w:t>
            </w:r>
            <w:proofErr w:type="gramStart"/>
            <w:r>
              <w:rPr>
                <w:rFonts w:ascii="Cambria" w:eastAsia="Cambria" w:hAnsi="Cambria" w:cs="Cambria"/>
                <w:sz w:val="16"/>
                <w:szCs w:val="16"/>
              </w:rPr>
              <w:t>Educación</w:t>
            </w:r>
            <w:proofErr w:type="gramEnd"/>
            <w:r w:rsidR="005E15DD">
              <w:rPr>
                <w:rFonts w:ascii="Cambria" w:eastAsia="Cambria" w:hAnsi="Cambria" w:cs="Cambria"/>
                <w:sz w:val="16"/>
                <w:szCs w:val="16"/>
              </w:rPr>
              <w:t xml:space="preserve"> Pública</w:t>
            </w:r>
          </w:p>
        </w:tc>
      </w:tr>
      <w:tr w:rsidR="00CF49B9" w14:paraId="027B0C2A" w14:textId="77777777" w:rsidTr="001422F7">
        <w:trPr>
          <w:trHeight w:val="583"/>
          <w:jc w:val="center"/>
        </w:trPr>
        <w:tc>
          <w:tcPr>
            <w:tcW w:w="1129" w:type="dxa"/>
            <w:shd w:val="clear" w:color="auto" w:fill="E7E6E6"/>
            <w:vAlign w:val="center"/>
          </w:tcPr>
          <w:p w14:paraId="6C881CD4"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Modalidad y Clave </w:t>
            </w:r>
            <w:proofErr w:type="spellStart"/>
            <w:r>
              <w:rPr>
                <w:rFonts w:ascii="Cambria" w:eastAsia="Cambria" w:hAnsi="Cambria" w:cs="Cambria"/>
                <w:b/>
                <w:color w:val="000000"/>
                <w:sz w:val="16"/>
                <w:szCs w:val="16"/>
              </w:rPr>
              <w:t>Pp</w:t>
            </w:r>
            <w:proofErr w:type="spellEnd"/>
            <w:r>
              <w:rPr>
                <w:rFonts w:ascii="Cambria" w:eastAsia="Cambria" w:hAnsi="Cambria" w:cs="Cambria"/>
                <w:b/>
                <w:color w:val="000000"/>
                <w:sz w:val="16"/>
                <w:szCs w:val="16"/>
              </w:rPr>
              <w:t>:</w:t>
            </w:r>
          </w:p>
        </w:tc>
        <w:tc>
          <w:tcPr>
            <w:tcW w:w="1276" w:type="dxa"/>
            <w:shd w:val="clear" w:color="auto" w:fill="E7E6E6"/>
            <w:vAlign w:val="center"/>
          </w:tcPr>
          <w:p w14:paraId="3CC6D7BE" w14:textId="0DCA3D72" w:rsidR="00CF49B9" w:rsidRDefault="00B041D2" w:rsidP="001422F7">
            <w:pPr>
              <w:pBdr>
                <w:top w:val="nil"/>
                <w:left w:val="nil"/>
                <w:bottom w:val="nil"/>
                <w:right w:val="nil"/>
                <w:between w:val="nil"/>
              </w:pBdr>
              <w:spacing w:before="20" w:after="0" w:line="240" w:lineRule="auto"/>
              <w:rPr>
                <w:rFonts w:ascii="Cambria" w:eastAsia="Cambria" w:hAnsi="Cambria" w:cs="Cambria"/>
                <w:color w:val="000000"/>
                <w:sz w:val="16"/>
                <w:szCs w:val="16"/>
              </w:rPr>
            </w:pPr>
            <w:r>
              <w:rPr>
                <w:rFonts w:ascii="Cambria" w:eastAsia="Cambria" w:hAnsi="Cambria" w:cs="Cambria"/>
                <w:color w:val="000000"/>
                <w:sz w:val="16"/>
                <w:szCs w:val="16"/>
              </w:rPr>
              <w:t>S</w:t>
            </w:r>
            <w:r w:rsidR="005E15DD">
              <w:rPr>
                <w:rFonts w:ascii="Cambria" w:eastAsia="Cambria" w:hAnsi="Cambria" w:cs="Cambria"/>
                <w:color w:val="000000"/>
                <w:sz w:val="16"/>
                <w:szCs w:val="16"/>
              </w:rPr>
              <w:t>072</w:t>
            </w:r>
          </w:p>
        </w:tc>
        <w:tc>
          <w:tcPr>
            <w:tcW w:w="2126" w:type="dxa"/>
            <w:shd w:val="clear" w:color="auto" w:fill="E7E6E6"/>
            <w:vAlign w:val="center"/>
          </w:tcPr>
          <w:p w14:paraId="334F6F10"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Denominación </w:t>
            </w:r>
            <w:proofErr w:type="spellStart"/>
            <w:r>
              <w:rPr>
                <w:rFonts w:ascii="Cambria" w:eastAsia="Cambria" w:hAnsi="Cambria" w:cs="Cambria"/>
                <w:b/>
                <w:color w:val="000000"/>
                <w:sz w:val="16"/>
                <w:szCs w:val="16"/>
              </w:rPr>
              <w:t>Pp</w:t>
            </w:r>
            <w:proofErr w:type="spellEnd"/>
            <w:r>
              <w:rPr>
                <w:rFonts w:ascii="Cambria" w:eastAsia="Cambria" w:hAnsi="Cambria" w:cs="Cambria"/>
                <w:b/>
                <w:color w:val="000000"/>
                <w:sz w:val="16"/>
                <w:szCs w:val="16"/>
              </w:rPr>
              <w:t>:</w:t>
            </w:r>
          </w:p>
        </w:tc>
        <w:tc>
          <w:tcPr>
            <w:tcW w:w="4410" w:type="dxa"/>
            <w:gridSpan w:val="4"/>
            <w:shd w:val="clear" w:color="auto" w:fill="E7E6E6"/>
            <w:vAlign w:val="center"/>
          </w:tcPr>
          <w:p w14:paraId="709796A4" w14:textId="2C20035F" w:rsidR="00CF49B9" w:rsidRDefault="00B81ADE" w:rsidP="001422F7">
            <w:pPr>
              <w:pBdr>
                <w:top w:val="nil"/>
                <w:left w:val="nil"/>
                <w:bottom w:val="nil"/>
                <w:right w:val="nil"/>
                <w:between w:val="nil"/>
              </w:pBdr>
              <w:spacing w:before="20" w:after="0" w:line="240" w:lineRule="auto"/>
              <w:rPr>
                <w:rFonts w:ascii="Cambria" w:eastAsia="Cambria" w:hAnsi="Cambria" w:cs="Cambria"/>
                <w:i/>
                <w:color w:val="000000"/>
                <w:sz w:val="16"/>
                <w:szCs w:val="16"/>
              </w:rPr>
            </w:pPr>
            <w:r w:rsidRPr="00B81ADE">
              <w:rPr>
                <w:rFonts w:ascii="Cambria" w:eastAsia="Cambria" w:hAnsi="Cambria" w:cs="Cambria"/>
                <w:color w:val="000000"/>
                <w:sz w:val="16"/>
                <w:szCs w:val="16"/>
              </w:rPr>
              <w:t>Programa de Becas de Educación Básica para el Bienestar Benito Juárez</w:t>
            </w:r>
          </w:p>
        </w:tc>
      </w:tr>
      <w:tr w:rsidR="00CF49B9" w14:paraId="18F56C4E" w14:textId="77777777" w:rsidTr="001422F7">
        <w:trPr>
          <w:trHeight w:val="583"/>
          <w:jc w:val="center"/>
        </w:trPr>
        <w:tc>
          <w:tcPr>
            <w:tcW w:w="2405" w:type="dxa"/>
            <w:gridSpan w:val="2"/>
            <w:shd w:val="clear" w:color="auto" w:fill="auto"/>
            <w:vAlign w:val="center"/>
          </w:tcPr>
          <w:p w14:paraId="458E6107" w14:textId="77777777" w:rsidR="00CF49B9" w:rsidRPr="00C16422" w:rsidRDefault="00CF49B9" w:rsidP="001422F7">
            <w:pPr>
              <w:pBdr>
                <w:top w:val="nil"/>
                <w:left w:val="nil"/>
                <w:bottom w:val="nil"/>
                <w:right w:val="nil"/>
                <w:between w:val="nil"/>
              </w:pBdr>
              <w:spacing w:before="20" w:after="0" w:line="240" w:lineRule="auto"/>
              <w:rPr>
                <w:rFonts w:ascii="Cambria" w:eastAsia="Cambria" w:hAnsi="Cambria" w:cs="Cambria"/>
                <w:b/>
                <w:sz w:val="16"/>
                <w:szCs w:val="16"/>
              </w:rPr>
            </w:pPr>
            <w:r w:rsidRPr="00C16422">
              <w:rPr>
                <w:rFonts w:ascii="Cambria" w:eastAsia="Cambria" w:hAnsi="Cambria" w:cs="Cambria"/>
                <w:b/>
                <w:sz w:val="16"/>
                <w:szCs w:val="16"/>
              </w:rPr>
              <w:t>Unidad Responsable (UR):</w:t>
            </w:r>
          </w:p>
        </w:tc>
        <w:tc>
          <w:tcPr>
            <w:tcW w:w="6536" w:type="dxa"/>
            <w:gridSpan w:val="5"/>
            <w:shd w:val="clear" w:color="auto" w:fill="auto"/>
            <w:vAlign w:val="center"/>
          </w:tcPr>
          <w:p w14:paraId="022D251D" w14:textId="30EE0880" w:rsidR="00CF49B9" w:rsidRPr="00C16422" w:rsidRDefault="00B81ADE" w:rsidP="001422F7">
            <w:pPr>
              <w:pBdr>
                <w:top w:val="nil"/>
                <w:left w:val="nil"/>
                <w:bottom w:val="nil"/>
                <w:right w:val="nil"/>
                <w:between w:val="nil"/>
              </w:pBdr>
              <w:spacing w:before="20" w:after="0" w:line="240" w:lineRule="auto"/>
              <w:rPr>
                <w:rFonts w:ascii="Cambria" w:eastAsia="Cambria" w:hAnsi="Cambria" w:cs="Cambria"/>
                <w:sz w:val="16"/>
                <w:szCs w:val="16"/>
                <w:highlight w:val="yellow"/>
              </w:rPr>
            </w:pPr>
            <w:bookmarkStart w:id="1" w:name="_Hlk124332271"/>
            <w:r w:rsidRPr="00B81ADE">
              <w:rPr>
                <w:rFonts w:ascii="Cambria" w:eastAsia="Cambria" w:hAnsi="Cambria" w:cs="Cambria"/>
                <w:sz w:val="16"/>
                <w:szCs w:val="16"/>
              </w:rPr>
              <w:t xml:space="preserve">Coordinación Nacional de Becas para el Bienestar Benito Juárez </w:t>
            </w:r>
            <w:bookmarkEnd w:id="1"/>
            <w:r w:rsidRPr="00B81ADE">
              <w:rPr>
                <w:rFonts w:ascii="Cambria" w:eastAsia="Cambria" w:hAnsi="Cambria" w:cs="Cambria"/>
                <w:sz w:val="16"/>
                <w:szCs w:val="16"/>
              </w:rPr>
              <w:t>(CNBBBJ)</w:t>
            </w:r>
          </w:p>
        </w:tc>
      </w:tr>
      <w:tr w:rsidR="00CF49B9" w14:paraId="6E149FBC" w14:textId="77777777" w:rsidTr="001422F7">
        <w:trPr>
          <w:trHeight w:val="583"/>
          <w:jc w:val="center"/>
        </w:trPr>
        <w:tc>
          <w:tcPr>
            <w:tcW w:w="2405" w:type="dxa"/>
            <w:gridSpan w:val="2"/>
            <w:shd w:val="clear" w:color="auto" w:fill="auto"/>
            <w:vAlign w:val="center"/>
          </w:tcPr>
          <w:p w14:paraId="1A48AA9B" w14:textId="77777777" w:rsidR="00CF49B9" w:rsidRPr="00B23A0A"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sidRPr="00B23A0A">
              <w:rPr>
                <w:rFonts w:ascii="Cambria" w:eastAsia="Cambria" w:hAnsi="Cambria" w:cs="Cambria"/>
                <w:b/>
                <w:color w:val="000000"/>
                <w:sz w:val="16"/>
                <w:szCs w:val="16"/>
              </w:rPr>
              <w:t xml:space="preserve">Área de Evaluación de la dependencia (AE):  </w:t>
            </w:r>
          </w:p>
        </w:tc>
        <w:tc>
          <w:tcPr>
            <w:tcW w:w="6536" w:type="dxa"/>
            <w:gridSpan w:val="5"/>
            <w:shd w:val="clear" w:color="auto" w:fill="auto"/>
            <w:vAlign w:val="center"/>
          </w:tcPr>
          <w:p w14:paraId="70C5C49D" w14:textId="4DF95ABF" w:rsidR="00CF49B9" w:rsidRPr="00B23A0A" w:rsidRDefault="00B81ADE" w:rsidP="00770106">
            <w:pPr>
              <w:pBdr>
                <w:top w:val="nil"/>
                <w:left w:val="nil"/>
                <w:bottom w:val="nil"/>
                <w:right w:val="nil"/>
                <w:between w:val="nil"/>
              </w:pBdr>
              <w:spacing w:before="20" w:after="0" w:line="240" w:lineRule="auto"/>
              <w:rPr>
                <w:rFonts w:ascii="Cambria" w:eastAsia="Cambria" w:hAnsi="Cambria" w:cs="Cambria"/>
                <w:color w:val="000000"/>
                <w:sz w:val="16"/>
                <w:szCs w:val="16"/>
              </w:rPr>
            </w:pPr>
            <w:r w:rsidRPr="00B81ADE">
              <w:rPr>
                <w:rFonts w:ascii="Cambria" w:eastAsia="Cambria" w:hAnsi="Cambria" w:cs="Cambria"/>
                <w:color w:val="000000"/>
                <w:sz w:val="16"/>
                <w:szCs w:val="16"/>
              </w:rPr>
              <w:t>Dirección General de Planeación, Análisis, Evaluación y Monitoreo</w:t>
            </w:r>
            <w:r>
              <w:rPr>
                <w:rFonts w:ascii="Cambria" w:eastAsia="Cambria" w:hAnsi="Cambria" w:cs="Cambria"/>
                <w:color w:val="000000"/>
                <w:sz w:val="16"/>
                <w:szCs w:val="16"/>
              </w:rPr>
              <w:t xml:space="preserve"> (</w:t>
            </w:r>
            <w:r w:rsidRPr="00B81ADE">
              <w:rPr>
                <w:rFonts w:ascii="Cambria" w:eastAsia="Cambria" w:hAnsi="Cambria" w:cs="Cambria"/>
                <w:color w:val="000000"/>
                <w:sz w:val="16"/>
                <w:szCs w:val="16"/>
              </w:rPr>
              <w:t>DGPAEM</w:t>
            </w:r>
            <w:r>
              <w:rPr>
                <w:rFonts w:ascii="Cambria" w:eastAsia="Cambria" w:hAnsi="Cambria" w:cs="Cambria"/>
                <w:color w:val="000000"/>
                <w:sz w:val="16"/>
                <w:szCs w:val="16"/>
              </w:rPr>
              <w:t>)</w:t>
            </w:r>
          </w:p>
        </w:tc>
      </w:tr>
      <w:tr w:rsidR="00CF49B9" w14:paraId="02685FF9" w14:textId="77777777" w:rsidTr="001422F7">
        <w:trPr>
          <w:trHeight w:val="317"/>
          <w:jc w:val="center"/>
        </w:trPr>
        <w:tc>
          <w:tcPr>
            <w:tcW w:w="2405" w:type="dxa"/>
            <w:gridSpan w:val="2"/>
            <w:vMerge w:val="restart"/>
            <w:shd w:val="clear" w:color="auto" w:fill="E7E6E6"/>
            <w:vAlign w:val="center"/>
          </w:tcPr>
          <w:p w14:paraId="2840F44C"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Instancia Evaluadora (IE): </w:t>
            </w:r>
          </w:p>
        </w:tc>
        <w:tc>
          <w:tcPr>
            <w:tcW w:w="2126" w:type="dxa"/>
            <w:shd w:val="clear" w:color="auto" w:fill="E7E6E6"/>
            <w:vAlign w:val="center"/>
          </w:tcPr>
          <w:p w14:paraId="5EE8CAF8"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Denominación: </w:t>
            </w:r>
          </w:p>
        </w:tc>
        <w:tc>
          <w:tcPr>
            <w:tcW w:w="4410" w:type="dxa"/>
            <w:gridSpan w:val="4"/>
            <w:shd w:val="clear" w:color="auto" w:fill="E7E6E6"/>
            <w:vAlign w:val="center"/>
          </w:tcPr>
          <w:p w14:paraId="23BF7140" w14:textId="68093421" w:rsidR="00CF49B9" w:rsidRDefault="00547A90" w:rsidP="001422F7">
            <w:pPr>
              <w:pBdr>
                <w:top w:val="nil"/>
                <w:left w:val="nil"/>
                <w:bottom w:val="nil"/>
                <w:right w:val="nil"/>
                <w:between w:val="nil"/>
              </w:pBdr>
              <w:spacing w:after="0" w:line="240" w:lineRule="auto"/>
              <w:rPr>
                <w:rFonts w:ascii="Soberana Sans" w:eastAsia="Soberana Sans" w:hAnsi="Soberana Sans" w:cs="Soberana Sans"/>
                <w:color w:val="000000"/>
                <w:sz w:val="12"/>
                <w:szCs w:val="12"/>
              </w:rPr>
            </w:pPr>
            <w:r w:rsidRPr="00547A90">
              <w:rPr>
                <w:rFonts w:ascii="Cambria" w:eastAsia="Cambria" w:hAnsi="Cambria" w:cs="Cambria"/>
                <w:color w:val="000000"/>
                <w:sz w:val="16"/>
                <w:szCs w:val="16"/>
              </w:rPr>
              <w:t>COCOA Services S.C.</w:t>
            </w:r>
          </w:p>
        </w:tc>
      </w:tr>
      <w:tr w:rsidR="00CF49B9" w14:paraId="339EC670" w14:textId="77777777" w:rsidTr="001422F7">
        <w:trPr>
          <w:trHeight w:val="293"/>
          <w:jc w:val="center"/>
        </w:trPr>
        <w:tc>
          <w:tcPr>
            <w:tcW w:w="2405" w:type="dxa"/>
            <w:gridSpan w:val="2"/>
            <w:vMerge/>
            <w:shd w:val="clear" w:color="auto" w:fill="E7E6E6"/>
            <w:vAlign w:val="center"/>
          </w:tcPr>
          <w:p w14:paraId="79367E03" w14:textId="77777777" w:rsidR="00CF49B9" w:rsidRDefault="00CF49B9" w:rsidP="001422F7">
            <w:pPr>
              <w:widowControl w:val="0"/>
              <w:pBdr>
                <w:top w:val="nil"/>
                <w:left w:val="nil"/>
                <w:bottom w:val="nil"/>
                <w:right w:val="nil"/>
                <w:between w:val="nil"/>
              </w:pBdr>
              <w:spacing w:after="0"/>
              <w:rPr>
                <w:rFonts w:ascii="Soberana Sans" w:eastAsia="Soberana Sans" w:hAnsi="Soberana Sans" w:cs="Soberana Sans"/>
                <w:color w:val="000000"/>
                <w:sz w:val="12"/>
                <w:szCs w:val="12"/>
              </w:rPr>
            </w:pPr>
          </w:p>
        </w:tc>
        <w:tc>
          <w:tcPr>
            <w:tcW w:w="2126" w:type="dxa"/>
            <w:shd w:val="clear" w:color="auto" w:fill="E7E6E6"/>
            <w:vAlign w:val="center"/>
          </w:tcPr>
          <w:p w14:paraId="3A8D3FE4"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Coordinador(a):</w:t>
            </w:r>
          </w:p>
        </w:tc>
        <w:tc>
          <w:tcPr>
            <w:tcW w:w="4410" w:type="dxa"/>
            <w:gridSpan w:val="4"/>
            <w:shd w:val="clear" w:color="auto" w:fill="E7E6E6"/>
            <w:vAlign w:val="center"/>
          </w:tcPr>
          <w:p w14:paraId="57D8CF8A" w14:textId="2DE56297" w:rsidR="00CF49B9" w:rsidRPr="000A3C98" w:rsidRDefault="00547A90" w:rsidP="001422F7">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Jimena Hernández Fernández</w:t>
            </w:r>
          </w:p>
        </w:tc>
      </w:tr>
      <w:tr w:rsidR="00CF49B9" w14:paraId="4BEB9A2E" w14:textId="77777777" w:rsidTr="001422F7">
        <w:trPr>
          <w:trHeight w:val="397"/>
          <w:jc w:val="center"/>
        </w:trPr>
        <w:tc>
          <w:tcPr>
            <w:tcW w:w="2405" w:type="dxa"/>
            <w:gridSpan w:val="2"/>
            <w:vMerge/>
            <w:shd w:val="clear" w:color="auto" w:fill="E7E6E6"/>
            <w:vAlign w:val="center"/>
          </w:tcPr>
          <w:p w14:paraId="6D2F8057" w14:textId="77777777" w:rsidR="00CF49B9" w:rsidRDefault="00CF49B9" w:rsidP="001422F7">
            <w:pPr>
              <w:widowControl w:val="0"/>
              <w:pBdr>
                <w:top w:val="nil"/>
                <w:left w:val="nil"/>
                <w:bottom w:val="nil"/>
                <w:right w:val="nil"/>
                <w:between w:val="nil"/>
              </w:pBdr>
              <w:spacing w:after="0"/>
              <w:rPr>
                <w:rFonts w:ascii="Cambria" w:eastAsia="Cambria" w:hAnsi="Cambria" w:cs="Cambria"/>
                <w:color w:val="000000"/>
                <w:sz w:val="16"/>
                <w:szCs w:val="16"/>
              </w:rPr>
            </w:pPr>
          </w:p>
        </w:tc>
        <w:tc>
          <w:tcPr>
            <w:tcW w:w="2126" w:type="dxa"/>
            <w:shd w:val="clear" w:color="auto" w:fill="E7E6E6"/>
            <w:vAlign w:val="center"/>
          </w:tcPr>
          <w:p w14:paraId="525B78A6"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Colaboradores(as):</w:t>
            </w:r>
          </w:p>
        </w:tc>
        <w:tc>
          <w:tcPr>
            <w:tcW w:w="4410" w:type="dxa"/>
            <w:gridSpan w:val="4"/>
            <w:shd w:val="clear" w:color="auto" w:fill="E7E6E6"/>
            <w:vAlign w:val="center"/>
          </w:tcPr>
          <w:p w14:paraId="06ADBA2B" w14:textId="77777777" w:rsidR="00547A90" w:rsidRPr="00547A90" w:rsidRDefault="00547A90" w:rsidP="00547A90">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Cáceres Castrillón, Germán Paul</w:t>
            </w:r>
          </w:p>
          <w:p w14:paraId="51CBB213" w14:textId="77777777" w:rsidR="00547A90" w:rsidRPr="00547A90" w:rsidRDefault="00547A90" w:rsidP="00547A90">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Franco Vasco, Diana María</w:t>
            </w:r>
          </w:p>
          <w:p w14:paraId="0E7B746C" w14:textId="77777777" w:rsidR="00547A90" w:rsidRPr="00547A90" w:rsidRDefault="00547A90" w:rsidP="00547A90">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 xml:space="preserve">Hernández Fernández, Jimena </w:t>
            </w:r>
          </w:p>
          <w:p w14:paraId="312E0DD4" w14:textId="77777777" w:rsidR="00547A90" w:rsidRPr="00547A90" w:rsidRDefault="00547A90" w:rsidP="00547A90">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Herrera Bautista, María del Carmen</w:t>
            </w:r>
          </w:p>
          <w:p w14:paraId="4ED55981" w14:textId="77777777" w:rsidR="00547A90" w:rsidRPr="00547A90" w:rsidRDefault="00547A90" w:rsidP="00547A90">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Razo Pérez, Ana Elizabeth</w:t>
            </w:r>
          </w:p>
          <w:p w14:paraId="69D77B62" w14:textId="77777777" w:rsidR="00547A90" w:rsidRPr="00547A90" w:rsidRDefault="00547A90" w:rsidP="00547A90">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Romero Pérez-Grovas, Carolina</w:t>
            </w:r>
          </w:p>
          <w:p w14:paraId="0AA5506C" w14:textId="77777777" w:rsidR="00547A90" w:rsidRPr="00547A90" w:rsidRDefault="00547A90" w:rsidP="00547A90">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Asesora: Claudia Mir Cervantes</w:t>
            </w:r>
          </w:p>
          <w:p w14:paraId="1A3059A4" w14:textId="13E088C5" w:rsidR="00CF49B9" w:rsidRPr="000A3C98" w:rsidRDefault="00547A90" w:rsidP="00547A90">
            <w:pPr>
              <w:pBdr>
                <w:top w:val="nil"/>
                <w:left w:val="nil"/>
                <w:bottom w:val="nil"/>
                <w:right w:val="nil"/>
                <w:between w:val="nil"/>
              </w:pBdr>
              <w:spacing w:after="0" w:line="240" w:lineRule="auto"/>
              <w:rPr>
                <w:rFonts w:ascii="Cambria" w:eastAsia="Cambria" w:hAnsi="Cambria" w:cs="Cambria"/>
                <w:iCs/>
                <w:color w:val="000000"/>
                <w:sz w:val="16"/>
                <w:szCs w:val="16"/>
              </w:rPr>
            </w:pPr>
            <w:r w:rsidRPr="00547A90">
              <w:rPr>
                <w:rFonts w:ascii="Cambria" w:eastAsia="Cambria" w:hAnsi="Cambria" w:cs="Cambria"/>
                <w:iCs/>
                <w:color w:val="000000"/>
                <w:sz w:val="16"/>
                <w:szCs w:val="16"/>
              </w:rPr>
              <w:t>Asistentes de investigación: Jorge Luis González Cruz y Mónica Torres Valencia</w:t>
            </w:r>
          </w:p>
        </w:tc>
      </w:tr>
      <w:tr w:rsidR="00CF49B9" w14:paraId="3A9D2D4E" w14:textId="77777777" w:rsidTr="001422F7">
        <w:trPr>
          <w:trHeight w:val="583"/>
          <w:jc w:val="center"/>
        </w:trPr>
        <w:tc>
          <w:tcPr>
            <w:tcW w:w="2405" w:type="dxa"/>
            <w:gridSpan w:val="2"/>
            <w:shd w:val="clear" w:color="auto" w:fill="auto"/>
            <w:vAlign w:val="center"/>
          </w:tcPr>
          <w:p w14:paraId="2886B9FE"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Procedimiento de contratación:</w:t>
            </w:r>
          </w:p>
        </w:tc>
        <w:tc>
          <w:tcPr>
            <w:tcW w:w="2126" w:type="dxa"/>
            <w:shd w:val="clear" w:color="auto" w:fill="auto"/>
            <w:vAlign w:val="center"/>
          </w:tcPr>
          <w:p w14:paraId="539A1299" w14:textId="4545C10B" w:rsidR="00CF49B9" w:rsidRDefault="007954FF" w:rsidP="001422F7">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Licitación Pública Nacional</w:t>
            </w:r>
            <w:r w:rsidR="000A3C98">
              <w:rPr>
                <w:rFonts w:ascii="Cambria" w:eastAsia="Cambria" w:hAnsi="Cambria" w:cs="Cambria"/>
                <w:color w:val="000000"/>
                <w:sz w:val="16"/>
                <w:szCs w:val="16"/>
              </w:rPr>
              <w:t xml:space="preserve"> Electrónica</w:t>
            </w:r>
          </w:p>
        </w:tc>
        <w:tc>
          <w:tcPr>
            <w:tcW w:w="2144" w:type="dxa"/>
            <w:gridSpan w:val="2"/>
            <w:shd w:val="clear" w:color="auto" w:fill="auto"/>
            <w:vAlign w:val="center"/>
          </w:tcPr>
          <w:p w14:paraId="58C862CE" w14:textId="77777777" w:rsidR="00CF49B9" w:rsidRDefault="00CF49B9" w:rsidP="001422F7">
            <w:pPr>
              <w:pBdr>
                <w:top w:val="nil"/>
                <w:left w:val="nil"/>
                <w:bottom w:val="nil"/>
                <w:right w:val="nil"/>
                <w:between w:val="nil"/>
              </w:pBdr>
              <w:spacing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Costo de la evaluación:</w:t>
            </w:r>
          </w:p>
        </w:tc>
        <w:tc>
          <w:tcPr>
            <w:tcW w:w="2266" w:type="dxa"/>
            <w:gridSpan w:val="2"/>
            <w:shd w:val="clear" w:color="auto" w:fill="auto"/>
            <w:vAlign w:val="center"/>
          </w:tcPr>
          <w:p w14:paraId="55EF8811" w14:textId="7033F23A" w:rsidR="00B42149" w:rsidRDefault="00B42149" w:rsidP="00B42149">
            <w:pPr>
              <w:pBdr>
                <w:top w:val="nil"/>
                <w:left w:val="nil"/>
                <w:bottom w:val="nil"/>
                <w:right w:val="nil"/>
                <w:between w:val="nil"/>
              </w:pBdr>
              <w:spacing w:after="0" w:line="240" w:lineRule="auto"/>
              <w:rPr>
                <w:rFonts w:ascii="Cambria" w:eastAsia="Cambria" w:hAnsi="Cambria" w:cs="Cambria"/>
                <w:color w:val="000000"/>
                <w:sz w:val="16"/>
                <w:szCs w:val="16"/>
              </w:rPr>
            </w:pPr>
            <w:r w:rsidRPr="001A0924">
              <w:rPr>
                <w:rFonts w:ascii="Cambria" w:eastAsia="Cambria" w:hAnsi="Cambria" w:cs="Cambria"/>
                <w:color w:val="000000"/>
                <w:sz w:val="16"/>
                <w:szCs w:val="16"/>
              </w:rPr>
              <w:t>$2,871,000.00 (</w:t>
            </w:r>
            <w:r w:rsidR="001A0924" w:rsidRPr="001A0924">
              <w:rPr>
                <w:rFonts w:ascii="Cambria" w:eastAsia="Cambria" w:hAnsi="Cambria" w:cs="Cambria"/>
                <w:color w:val="000000"/>
                <w:sz w:val="16"/>
                <w:szCs w:val="16"/>
              </w:rPr>
              <w:t xml:space="preserve">DOS MILLONES OCHOCIENTOS SETENTA Y UN MIL PESOS </w:t>
            </w:r>
            <w:r w:rsidRPr="001A0924">
              <w:rPr>
                <w:rFonts w:ascii="Cambria" w:eastAsia="Cambria" w:hAnsi="Cambria" w:cs="Cambria"/>
                <w:color w:val="000000"/>
                <w:sz w:val="16"/>
                <w:szCs w:val="16"/>
              </w:rPr>
              <w:t>00/100 M.N.) cantidad que incluye el Impuesto al Valor Agregado.</w:t>
            </w:r>
          </w:p>
          <w:p w14:paraId="1A834FE8" w14:textId="6B468E76" w:rsidR="007954FF" w:rsidRDefault="007954FF" w:rsidP="00B42149">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Costo total del proyecto “</w:t>
            </w:r>
            <w:r w:rsidR="00B42149" w:rsidRPr="00B42149">
              <w:rPr>
                <w:rFonts w:ascii="Cambria" w:eastAsia="Cambria" w:hAnsi="Cambria" w:cs="Cambria"/>
                <w:color w:val="000000"/>
                <w:sz w:val="16"/>
                <w:szCs w:val="16"/>
              </w:rPr>
              <w:t>Evaluación de procesos a tres programas prioritarios de becas educativas</w:t>
            </w:r>
            <w:r>
              <w:rPr>
                <w:rFonts w:ascii="Cambria" w:eastAsia="Cambria" w:hAnsi="Cambria" w:cs="Cambria"/>
                <w:color w:val="000000"/>
                <w:sz w:val="16"/>
                <w:szCs w:val="16"/>
              </w:rPr>
              <w:t>”, dentro del cual se realizó esta evaluación.</w:t>
            </w:r>
          </w:p>
        </w:tc>
      </w:tr>
      <w:tr w:rsidR="00CF49B9" w14:paraId="7BB3E56C" w14:textId="77777777" w:rsidTr="001422F7">
        <w:trPr>
          <w:trHeight w:val="583"/>
          <w:jc w:val="center"/>
        </w:trPr>
        <w:tc>
          <w:tcPr>
            <w:tcW w:w="2405" w:type="dxa"/>
            <w:gridSpan w:val="2"/>
            <w:shd w:val="clear" w:color="auto" w:fill="auto"/>
            <w:vAlign w:val="center"/>
          </w:tcPr>
          <w:p w14:paraId="3ADFE1C1"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Tipo de contratación:</w:t>
            </w:r>
          </w:p>
        </w:tc>
        <w:tc>
          <w:tcPr>
            <w:tcW w:w="2126" w:type="dxa"/>
            <w:shd w:val="clear" w:color="auto" w:fill="auto"/>
            <w:vAlign w:val="center"/>
          </w:tcPr>
          <w:p w14:paraId="39E4697A" w14:textId="00FE80FE" w:rsidR="00CF49B9" w:rsidRDefault="000A3C98" w:rsidP="001422F7">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Individual</w:t>
            </w:r>
          </w:p>
        </w:tc>
        <w:tc>
          <w:tcPr>
            <w:tcW w:w="2144" w:type="dxa"/>
            <w:gridSpan w:val="2"/>
            <w:shd w:val="clear" w:color="auto" w:fill="auto"/>
            <w:vAlign w:val="center"/>
          </w:tcPr>
          <w:p w14:paraId="0AAF4849" w14:textId="77777777" w:rsidR="00CF49B9" w:rsidRDefault="00CF49B9" w:rsidP="001422F7">
            <w:pPr>
              <w:pBdr>
                <w:top w:val="nil"/>
                <w:left w:val="nil"/>
                <w:bottom w:val="nil"/>
                <w:right w:val="nil"/>
                <w:between w:val="nil"/>
              </w:pBdr>
              <w:spacing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Fuente de financiamiento:</w:t>
            </w:r>
          </w:p>
        </w:tc>
        <w:tc>
          <w:tcPr>
            <w:tcW w:w="2266" w:type="dxa"/>
            <w:gridSpan w:val="2"/>
            <w:shd w:val="clear" w:color="auto" w:fill="auto"/>
            <w:vAlign w:val="center"/>
          </w:tcPr>
          <w:p w14:paraId="235F59D0" w14:textId="77777777" w:rsidR="000A3C98" w:rsidRPr="001A0924" w:rsidRDefault="000A3C98" w:rsidP="001422F7">
            <w:pPr>
              <w:pBdr>
                <w:top w:val="nil"/>
                <w:left w:val="nil"/>
                <w:bottom w:val="nil"/>
                <w:right w:val="nil"/>
                <w:between w:val="nil"/>
              </w:pBdr>
              <w:spacing w:after="0" w:line="240" w:lineRule="auto"/>
              <w:rPr>
                <w:rFonts w:ascii="Cambria" w:eastAsia="Cambria" w:hAnsi="Cambria" w:cs="Cambria"/>
                <w:color w:val="000000"/>
                <w:sz w:val="16"/>
                <w:szCs w:val="16"/>
              </w:rPr>
            </w:pPr>
            <w:r w:rsidRPr="001A0924">
              <w:rPr>
                <w:rFonts w:ascii="Cambria" w:eastAsia="Cambria" w:hAnsi="Cambria" w:cs="Cambria"/>
                <w:color w:val="000000"/>
                <w:sz w:val="16"/>
                <w:szCs w:val="16"/>
              </w:rPr>
              <w:t xml:space="preserve">Recursos federales </w:t>
            </w:r>
          </w:p>
          <w:p w14:paraId="0174DFA1" w14:textId="38FB7FB7" w:rsidR="00CF49B9" w:rsidRDefault="007954FF" w:rsidP="001422F7">
            <w:pPr>
              <w:pBdr>
                <w:top w:val="nil"/>
                <w:left w:val="nil"/>
                <w:bottom w:val="nil"/>
                <w:right w:val="nil"/>
                <w:between w:val="nil"/>
              </w:pBdr>
              <w:spacing w:after="0" w:line="240" w:lineRule="auto"/>
              <w:rPr>
                <w:rFonts w:ascii="Cambria" w:eastAsia="Cambria" w:hAnsi="Cambria" w:cs="Cambria"/>
                <w:color w:val="000000"/>
                <w:sz w:val="16"/>
                <w:szCs w:val="16"/>
              </w:rPr>
            </w:pPr>
            <w:r w:rsidRPr="001A0924">
              <w:rPr>
                <w:rFonts w:ascii="Cambria" w:eastAsia="Cambria" w:hAnsi="Cambria" w:cs="Cambria"/>
                <w:color w:val="000000"/>
                <w:sz w:val="16"/>
                <w:szCs w:val="16"/>
              </w:rPr>
              <w:t>Partida presupuestal 33501 “Estudios e investigaciones”</w:t>
            </w:r>
          </w:p>
        </w:tc>
      </w:tr>
      <w:tr w:rsidR="00CF49B9" w14:paraId="007C6984" w14:textId="77777777" w:rsidTr="001422F7">
        <w:trPr>
          <w:trHeight w:val="583"/>
          <w:jc w:val="center"/>
        </w:trPr>
        <w:tc>
          <w:tcPr>
            <w:tcW w:w="2405" w:type="dxa"/>
            <w:gridSpan w:val="2"/>
            <w:shd w:val="clear" w:color="auto" w:fill="D9D9D9"/>
            <w:vAlign w:val="center"/>
          </w:tcPr>
          <w:p w14:paraId="3F755A72"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Instancia de coordinación de la evaluación:</w:t>
            </w:r>
          </w:p>
        </w:tc>
        <w:tc>
          <w:tcPr>
            <w:tcW w:w="6536" w:type="dxa"/>
            <w:gridSpan w:val="5"/>
            <w:shd w:val="clear" w:color="auto" w:fill="D9D9D9"/>
            <w:vAlign w:val="center"/>
          </w:tcPr>
          <w:p w14:paraId="141B9053" w14:textId="152DE639" w:rsidR="00CF49B9" w:rsidRDefault="007954FF" w:rsidP="001422F7">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Consejo Nacional de Evaluación de la Política de Desarrollo Social (CONEVAL)</w:t>
            </w:r>
          </w:p>
        </w:tc>
      </w:tr>
    </w:tbl>
    <w:p w14:paraId="4B6755E8" w14:textId="77777777" w:rsidR="006963D8" w:rsidRDefault="006963D8" w:rsidP="00CF49B9">
      <w:pPr>
        <w:pBdr>
          <w:top w:val="nil"/>
          <w:left w:val="nil"/>
          <w:bottom w:val="nil"/>
          <w:right w:val="nil"/>
          <w:between w:val="nil"/>
        </w:pBdr>
        <w:spacing w:after="120" w:line="240" w:lineRule="auto"/>
        <w:jc w:val="both"/>
        <w:rPr>
          <w:rFonts w:ascii="Cambria" w:eastAsia="Cambria" w:hAnsi="Cambria" w:cs="Cambria"/>
          <w:b/>
          <w:color w:val="000000"/>
        </w:rPr>
      </w:pPr>
    </w:p>
    <w:p w14:paraId="5BE65C0B" w14:textId="176CFE60" w:rsidR="00CF49B9" w:rsidRDefault="00CF49B9" w:rsidP="00CF49B9">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b/>
          <w:color w:val="000000"/>
        </w:rPr>
        <w:t>Descripción del Programa</w:t>
      </w:r>
      <w:r w:rsidR="000A3C98">
        <w:rPr>
          <w:rFonts w:ascii="Cambria" w:eastAsia="Cambria" w:hAnsi="Cambria" w:cs="Cambria"/>
          <w:b/>
          <w:color w:val="000000"/>
        </w:rPr>
        <w:t xml:space="preserve"> </w:t>
      </w:r>
    </w:p>
    <w:p w14:paraId="6EB607F7" w14:textId="15B9EA1B" w:rsidR="001A0924" w:rsidRDefault="00963410" w:rsidP="001A0924">
      <w:pPr>
        <w:pBdr>
          <w:top w:val="nil"/>
          <w:left w:val="nil"/>
          <w:bottom w:val="nil"/>
          <w:right w:val="nil"/>
          <w:between w:val="nil"/>
        </w:pBdr>
        <w:spacing w:after="120" w:line="240" w:lineRule="auto"/>
        <w:jc w:val="both"/>
        <w:rPr>
          <w:rFonts w:ascii="Cambria" w:eastAsia="Cambria" w:hAnsi="Cambria" w:cs="Cambria"/>
          <w:color w:val="000000"/>
        </w:rPr>
      </w:pPr>
      <w:r w:rsidRPr="00963410">
        <w:rPr>
          <w:rFonts w:ascii="Cambria" w:eastAsia="Cambria" w:hAnsi="Cambria" w:cs="Cambria"/>
          <w:color w:val="000000"/>
        </w:rPr>
        <w:t xml:space="preserve">El Programa Becas de Educación Básica para el Bienestar Benito Juárez (S072) busca favorecer la permanencia y conclusión de las trayectorias escolares de </w:t>
      </w:r>
      <w:r w:rsidR="00AA6C5C">
        <w:rPr>
          <w:rFonts w:ascii="Cambria" w:eastAsia="Cambria" w:hAnsi="Cambria" w:cs="Cambria"/>
          <w:color w:val="000000"/>
        </w:rPr>
        <w:t>niñas, niños y adolescentes</w:t>
      </w:r>
      <w:r w:rsidRPr="00963410">
        <w:rPr>
          <w:rFonts w:ascii="Cambria" w:eastAsia="Cambria" w:hAnsi="Cambria" w:cs="Cambria"/>
          <w:color w:val="000000"/>
        </w:rPr>
        <w:t xml:space="preserve"> en Educación Básica mediante la entrega de un subsidio económico a las familias de las y los </w:t>
      </w:r>
      <w:r w:rsidRPr="00963410">
        <w:rPr>
          <w:rFonts w:ascii="Cambria" w:eastAsia="Cambria" w:hAnsi="Cambria" w:cs="Cambria"/>
          <w:color w:val="000000"/>
        </w:rPr>
        <w:lastRenderedPageBreak/>
        <w:t>estudiantes inscritos en este tipo educativo.</w:t>
      </w:r>
      <w:r w:rsidR="001A0924">
        <w:rPr>
          <w:rFonts w:ascii="Cambria" w:eastAsia="Cambria" w:hAnsi="Cambria" w:cs="Cambria"/>
          <w:color w:val="000000"/>
        </w:rPr>
        <w:t xml:space="preserve"> </w:t>
      </w:r>
      <w:r w:rsidR="001A0924" w:rsidRPr="001A0924">
        <w:rPr>
          <w:rFonts w:ascii="Cambria" w:eastAsia="Cambria" w:hAnsi="Cambria" w:cs="Cambria"/>
          <w:color w:val="000000"/>
        </w:rPr>
        <w:t>La intervención prioriza la atención de planteles educativos ubicados en localidades indígenas, con menos de 50 habitantes y con alta o muy alta marginación y busca atender a familias cuyo ingreso per cápita estimado es menor a la Línea de Pobreza por Ingresos (LPI).</w:t>
      </w:r>
      <w:r w:rsidR="00012869">
        <w:rPr>
          <w:rFonts w:ascii="Cambria" w:eastAsia="Cambria" w:hAnsi="Cambria" w:cs="Cambria"/>
          <w:color w:val="000000"/>
        </w:rPr>
        <w:t xml:space="preserve"> </w:t>
      </w:r>
      <w:r w:rsidR="001A0924" w:rsidRPr="001A0924">
        <w:rPr>
          <w:rFonts w:ascii="Cambria" w:eastAsia="Cambria" w:hAnsi="Cambria" w:cs="Cambria"/>
          <w:color w:val="000000"/>
        </w:rPr>
        <w:t xml:space="preserve">El Programa entrega $840.00 pesos mensuales a cada una de las familias beneficiarias, sin distinción del número de hijos que asisten a la escuela. </w:t>
      </w:r>
    </w:p>
    <w:p w14:paraId="68133DF5" w14:textId="0D1B1F30" w:rsidR="00CF49B9" w:rsidRDefault="00CF49B9" w:rsidP="00963410">
      <w:pPr>
        <w:pBdr>
          <w:top w:val="nil"/>
          <w:left w:val="nil"/>
          <w:bottom w:val="nil"/>
          <w:right w:val="nil"/>
          <w:between w:val="nil"/>
        </w:pBdr>
        <w:spacing w:after="120" w:line="240" w:lineRule="auto"/>
        <w:jc w:val="both"/>
        <w:rPr>
          <w:rFonts w:ascii="Cambria" w:eastAsia="Cambria" w:hAnsi="Cambria" w:cs="Cambria"/>
          <w:b/>
          <w:color w:val="000000"/>
        </w:rPr>
      </w:pPr>
      <w:r w:rsidRPr="002F2377">
        <w:rPr>
          <w:rFonts w:ascii="Cambria" w:eastAsia="Cambria" w:hAnsi="Cambria" w:cs="Cambria"/>
          <w:b/>
          <w:color w:val="000000"/>
        </w:rPr>
        <w:t>Principales hallazgos de la evaluación</w:t>
      </w:r>
      <w:r>
        <w:rPr>
          <w:rFonts w:ascii="Cambria" w:eastAsia="Cambria" w:hAnsi="Cambria" w:cs="Cambria"/>
          <w:b/>
          <w:color w:val="000000"/>
        </w:rPr>
        <w:t xml:space="preserve"> </w:t>
      </w:r>
    </w:p>
    <w:p w14:paraId="32F54378" w14:textId="27ED20C0" w:rsidR="001A0924" w:rsidRDefault="001A0924" w:rsidP="001A0924">
      <w:pPr>
        <w:pBdr>
          <w:top w:val="nil"/>
          <w:left w:val="nil"/>
          <w:bottom w:val="nil"/>
          <w:right w:val="nil"/>
          <w:between w:val="nil"/>
        </w:pBdr>
        <w:spacing w:after="120" w:line="240" w:lineRule="auto"/>
        <w:jc w:val="both"/>
        <w:rPr>
          <w:rFonts w:ascii="Cambria" w:eastAsia="Cambria" w:hAnsi="Cambria" w:cs="Cambria"/>
          <w:color w:val="000000"/>
        </w:rPr>
      </w:pPr>
      <w:r w:rsidRPr="001A0924">
        <w:rPr>
          <w:rFonts w:ascii="Cambria" w:eastAsia="Cambria" w:hAnsi="Cambria" w:cs="Cambria"/>
          <w:color w:val="000000"/>
        </w:rPr>
        <w:t>Se detectaron fortalezas en la gestión operativa, las cuales contribuyen a alcanzar el objetivo del Programa. Por un lado, las familias beneficiarias reconocen las becas que entrega esta intervención como un apoyo muy importante para su economía. Por otro, se observó el compromiso de la CNBBBJ, las Oficinas de Representación Estatal (ORE) y las Sedes Auxiliares Regionales (SARE), así como una interacción profesional y respetuosa con las familias beneficiarias en las Mesas de Atención Temporal (MAT).</w:t>
      </w:r>
    </w:p>
    <w:p w14:paraId="202C3A59" w14:textId="12E00315" w:rsidR="0068549F" w:rsidRDefault="0068549F" w:rsidP="00F55A67">
      <w:pPr>
        <w:pBdr>
          <w:top w:val="nil"/>
          <w:left w:val="nil"/>
          <w:bottom w:val="nil"/>
          <w:right w:val="nil"/>
          <w:between w:val="nil"/>
        </w:pBdr>
        <w:spacing w:after="120" w:line="240" w:lineRule="auto"/>
        <w:jc w:val="both"/>
        <w:rPr>
          <w:rFonts w:ascii="Cambria" w:eastAsia="Cambria" w:hAnsi="Cambria" w:cs="Cambria"/>
          <w:color w:val="000000"/>
        </w:rPr>
      </w:pPr>
      <w:r w:rsidRPr="0068549F">
        <w:rPr>
          <w:rFonts w:ascii="Cambria" w:eastAsia="Cambria" w:hAnsi="Cambria" w:cs="Cambria"/>
          <w:color w:val="000000"/>
        </w:rPr>
        <w:t>Se identifica como un elemento relevante el compromiso que tiene la institución responsable y sus enlaces territoriales para llevar a cabo la operación del Programa, considerando las limitantes presupuestales, normativas y de contratación que enfrentan, principalmente durante el proceso de planeación; sin embargo, la falta de una estructura organizacional aprobada</w:t>
      </w:r>
      <w:r w:rsidR="007965B3">
        <w:rPr>
          <w:rFonts w:ascii="Cambria" w:eastAsia="Cambria" w:hAnsi="Cambria" w:cs="Cambria"/>
          <w:color w:val="000000"/>
        </w:rPr>
        <w:t xml:space="preserve"> por la Secretaría de Hacienda y Crédito Público y la Secretaría de la Función Pública</w:t>
      </w:r>
      <w:r w:rsidRPr="0068549F">
        <w:rPr>
          <w:rFonts w:ascii="Cambria" w:eastAsia="Cambria" w:hAnsi="Cambria" w:cs="Cambria"/>
          <w:color w:val="000000"/>
        </w:rPr>
        <w:t xml:space="preserve"> afecta la implementación y se ve reflejado en la falta de documentos normativos que den certeza a la operación.</w:t>
      </w:r>
    </w:p>
    <w:p w14:paraId="001650D3" w14:textId="0B76799C" w:rsidR="00C522E5" w:rsidRDefault="00C522E5" w:rsidP="00F55A67">
      <w:pPr>
        <w:pBdr>
          <w:top w:val="nil"/>
          <w:left w:val="nil"/>
          <w:bottom w:val="nil"/>
          <w:right w:val="nil"/>
          <w:between w:val="nil"/>
        </w:pBdr>
        <w:spacing w:after="120" w:line="240" w:lineRule="auto"/>
        <w:jc w:val="both"/>
        <w:rPr>
          <w:rFonts w:ascii="Cambria" w:eastAsia="Cambria" w:hAnsi="Cambria" w:cs="Cambria"/>
          <w:color w:val="000000"/>
        </w:rPr>
      </w:pPr>
      <w:r w:rsidRPr="00C522E5">
        <w:rPr>
          <w:rFonts w:ascii="Cambria" w:eastAsia="Cambria" w:hAnsi="Cambria" w:cs="Cambria"/>
          <w:color w:val="000000"/>
        </w:rPr>
        <w:t>El proceso de identificación de familias consiste en la aplicación de las encuestas de incorporación (Cédula Familiar) para lo cual las ORE programan los operativos de levantamiento con las autoridades escolares. Un elemento relevante en este proceso es que se observó disposición y apoyo de los docentes y directores hacia las familias para facilitar los trámites para acceder a la beca. Sin embargo, el Programa no cuenta con un calendario que permita difundir las fechas del levantamiento de forma anticipada, lo que tiene como resultado poco tiempo para la organización y difusión de esta actividad, así como dificultar que algunas familias acudan, principalmente aquellas provenientes de comunidades alejadas o poco accesibles.</w:t>
      </w:r>
      <w:r w:rsidR="0068549F">
        <w:rPr>
          <w:rFonts w:ascii="Cambria" w:eastAsia="Cambria" w:hAnsi="Cambria" w:cs="Cambria"/>
          <w:color w:val="000000"/>
        </w:rPr>
        <w:t xml:space="preserve"> Asimismo, </w:t>
      </w:r>
      <w:r w:rsidR="0068549F" w:rsidRPr="0068549F">
        <w:rPr>
          <w:rFonts w:ascii="Cambria" w:eastAsia="Cambria" w:hAnsi="Cambria" w:cs="Cambria"/>
          <w:color w:val="000000"/>
        </w:rPr>
        <w:t xml:space="preserve">las Reglas de Operación (ROP) mencionan que la beca se entrega hasta por diez meses del ciclo escolar, no obstante, </w:t>
      </w:r>
      <w:r w:rsidR="00B04AE2">
        <w:rPr>
          <w:rFonts w:ascii="Cambria" w:eastAsia="Cambria" w:hAnsi="Cambria" w:cs="Cambria"/>
          <w:color w:val="000000"/>
        </w:rPr>
        <w:t xml:space="preserve">este instrumento no incluye </w:t>
      </w:r>
      <w:r w:rsidR="0068549F" w:rsidRPr="0068549F">
        <w:rPr>
          <w:rFonts w:ascii="Cambria" w:eastAsia="Cambria" w:hAnsi="Cambria" w:cs="Cambria"/>
          <w:color w:val="000000"/>
        </w:rPr>
        <w:t>información clara y específica respecto al calendario de pagos y la periodicidad esperada para recibir la beca, lo que afecta la certeza y planificación que tienen las familias sobre el apoyo.</w:t>
      </w:r>
    </w:p>
    <w:p w14:paraId="6DB4B1F2" w14:textId="381E87AE" w:rsidR="00F55A67" w:rsidRDefault="00F55A67" w:rsidP="002F2377">
      <w:pPr>
        <w:pBdr>
          <w:top w:val="nil"/>
          <w:left w:val="nil"/>
          <w:bottom w:val="nil"/>
          <w:right w:val="nil"/>
          <w:between w:val="nil"/>
        </w:pBdr>
        <w:spacing w:after="120" w:line="240" w:lineRule="auto"/>
        <w:jc w:val="both"/>
        <w:rPr>
          <w:rFonts w:ascii="Cambria" w:eastAsia="Cambria" w:hAnsi="Cambria" w:cs="Cambria"/>
          <w:color w:val="000000"/>
        </w:rPr>
      </w:pPr>
      <w:r w:rsidRPr="001A0924">
        <w:rPr>
          <w:rFonts w:ascii="Cambria" w:eastAsia="Cambria" w:hAnsi="Cambria" w:cs="Cambria"/>
          <w:color w:val="000000"/>
        </w:rPr>
        <w:t>Un elemento que interfiere en la operación del programa y se identifica desde los documentos normativos del programa, es la desarticulación y desvinculación con la estructura educativa. Es decir, a</w:t>
      </w:r>
      <w:r w:rsidRPr="00F55A67">
        <w:rPr>
          <w:rFonts w:ascii="Cambria" w:eastAsia="Cambria" w:hAnsi="Cambria" w:cs="Cambria"/>
          <w:color w:val="000000"/>
        </w:rPr>
        <w:t xml:space="preserve"> pesar de ser un programa con propósitos planteados en la dimensión de la escuela y los efectos en la experiencia educativa del estudiantado, no se involucra al Sistema Educativo Nacional en la operación</w:t>
      </w:r>
      <w:r>
        <w:rPr>
          <w:rFonts w:ascii="Cambria" w:eastAsia="Cambria" w:hAnsi="Cambria" w:cs="Cambria"/>
          <w:color w:val="000000"/>
        </w:rPr>
        <w:t>.</w:t>
      </w:r>
    </w:p>
    <w:p w14:paraId="248BD2F1" w14:textId="7C437A40" w:rsidR="00614444" w:rsidRDefault="00614444" w:rsidP="00614444">
      <w:pPr>
        <w:pBdr>
          <w:top w:val="nil"/>
          <w:left w:val="nil"/>
          <w:bottom w:val="nil"/>
          <w:right w:val="nil"/>
          <w:between w:val="nil"/>
        </w:pBdr>
        <w:spacing w:after="120" w:line="240" w:lineRule="auto"/>
        <w:jc w:val="both"/>
        <w:rPr>
          <w:rFonts w:ascii="Cambria" w:eastAsia="Cambria" w:hAnsi="Cambria" w:cs="Cambria"/>
          <w:b/>
          <w:color w:val="000000"/>
        </w:rPr>
      </w:pPr>
      <w:r>
        <w:rPr>
          <w:rFonts w:ascii="Cambria" w:eastAsia="Cambria" w:hAnsi="Cambria" w:cs="Cambria"/>
          <w:b/>
          <w:color w:val="000000"/>
        </w:rPr>
        <w:t>Principales recomendaciones de la evaluación</w:t>
      </w:r>
    </w:p>
    <w:p w14:paraId="48E4D46F" w14:textId="77777777" w:rsidR="00FE2B96" w:rsidRDefault="00646E06" w:rsidP="00646E06">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color w:val="000000"/>
        </w:rPr>
        <w:t>P</w:t>
      </w:r>
      <w:r w:rsidRPr="00646E06">
        <w:rPr>
          <w:rFonts w:ascii="Cambria" w:eastAsia="Cambria" w:hAnsi="Cambria" w:cs="Cambria"/>
          <w:color w:val="000000"/>
        </w:rPr>
        <w:t>ara fortalecer la identificación de las familias, es necesario establecer un calendario estimado para los operativos, idealmente por localidad o región. Además, en las localidades rurales con poca conectividad se requiere más promoción e información directa para el levantamiento de las Cédulas Familiares, esto debido a que la información digital es menos accesible y se necesita garantizar que las familias de estas localidades acudan al levantamiento.</w:t>
      </w:r>
      <w:r>
        <w:rPr>
          <w:rFonts w:ascii="Cambria" w:eastAsia="Cambria" w:hAnsi="Cambria" w:cs="Cambria"/>
          <w:color w:val="000000"/>
        </w:rPr>
        <w:t xml:space="preserve"> Asimismo, </w:t>
      </w:r>
      <w:r w:rsidR="00FE2B96">
        <w:rPr>
          <w:rFonts w:ascii="Cambria" w:eastAsia="Cambria" w:hAnsi="Cambria" w:cs="Cambria"/>
          <w:color w:val="000000"/>
        </w:rPr>
        <w:t>s</w:t>
      </w:r>
      <w:r w:rsidR="00FE2B96" w:rsidRPr="00FE2B96">
        <w:rPr>
          <w:rFonts w:ascii="Cambria" w:eastAsia="Cambria" w:hAnsi="Cambria" w:cs="Cambria"/>
          <w:color w:val="000000"/>
        </w:rPr>
        <w:t>e recomienda definir un calendario de pagos con periodos más precisos y darlo a conocer de manera generalizada.</w:t>
      </w:r>
      <w:r w:rsidR="00FE2B96">
        <w:rPr>
          <w:rFonts w:ascii="Cambria" w:eastAsia="Cambria" w:hAnsi="Cambria" w:cs="Cambria"/>
          <w:color w:val="000000"/>
        </w:rPr>
        <w:t xml:space="preserve"> </w:t>
      </w:r>
    </w:p>
    <w:p w14:paraId="17449E83" w14:textId="078B62E1" w:rsidR="00646E06" w:rsidRDefault="00FE2B96" w:rsidP="00646E06">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color w:val="000000"/>
        </w:rPr>
        <w:lastRenderedPageBreak/>
        <w:t xml:space="preserve">Finalmente, </w:t>
      </w:r>
      <w:r w:rsidR="00646E06">
        <w:rPr>
          <w:rFonts w:ascii="Cambria" w:eastAsia="Cambria" w:hAnsi="Cambria" w:cs="Cambria"/>
          <w:color w:val="000000"/>
        </w:rPr>
        <w:t>se necesita f</w:t>
      </w:r>
      <w:r w:rsidR="00646E06" w:rsidRPr="00A6651F">
        <w:rPr>
          <w:rFonts w:ascii="Cambria" w:eastAsia="Cambria" w:hAnsi="Cambria" w:cs="Cambria"/>
          <w:color w:val="000000"/>
        </w:rPr>
        <w:t>ortalecer la vinculación y articulación operativa entre la CNBBBJ y la estructura educativa en los niveles federal y estatal, particularmente en la comunicación sobre</w:t>
      </w:r>
      <w:r w:rsidR="00646E06">
        <w:rPr>
          <w:rFonts w:ascii="Cambria" w:eastAsia="Cambria" w:hAnsi="Cambria" w:cs="Cambria"/>
          <w:color w:val="000000"/>
        </w:rPr>
        <w:t xml:space="preserve"> </w:t>
      </w:r>
      <w:r w:rsidR="00646E06" w:rsidRPr="00A6651F">
        <w:rPr>
          <w:rFonts w:ascii="Cambria" w:eastAsia="Cambria" w:hAnsi="Cambria" w:cs="Cambria"/>
          <w:color w:val="000000"/>
        </w:rPr>
        <w:t>el papel de las figuras educativas en la instrumentación y seguimiento del Programa.</w:t>
      </w:r>
    </w:p>
    <w:p w14:paraId="551D47A7" w14:textId="004F5B60" w:rsidR="00614444" w:rsidRDefault="00614444" w:rsidP="00614444">
      <w:pPr>
        <w:pBdr>
          <w:top w:val="nil"/>
          <w:left w:val="nil"/>
          <w:bottom w:val="nil"/>
          <w:right w:val="nil"/>
          <w:between w:val="nil"/>
        </w:pBdr>
        <w:spacing w:after="120" w:line="240" w:lineRule="auto"/>
        <w:jc w:val="both"/>
        <w:rPr>
          <w:rFonts w:ascii="Cambria" w:eastAsia="Cambria" w:hAnsi="Cambria" w:cs="Cambria"/>
          <w:b/>
          <w:color w:val="000000"/>
        </w:rPr>
      </w:pPr>
      <w:r>
        <w:rPr>
          <w:rFonts w:ascii="Cambria" w:eastAsia="Cambria" w:hAnsi="Cambria" w:cs="Cambria"/>
          <w:b/>
          <w:color w:val="000000"/>
        </w:rPr>
        <w:t xml:space="preserve">Recomendaciones para el proceso de programación y presupuestación </w:t>
      </w:r>
    </w:p>
    <w:p w14:paraId="1A075967" w14:textId="6863AB06" w:rsidR="00F15BE8" w:rsidRDefault="007965B3" w:rsidP="00F15BE8">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color w:val="000000"/>
        </w:rPr>
        <w:t>Es</w:t>
      </w:r>
      <w:r w:rsidR="00C522E5" w:rsidRPr="00C522E5">
        <w:rPr>
          <w:rFonts w:ascii="Cambria" w:eastAsia="Cambria" w:hAnsi="Cambria" w:cs="Cambria"/>
          <w:color w:val="000000"/>
        </w:rPr>
        <w:t xml:space="preserve"> fundamental otorgar a la CNBBBJ el andamiaje institucional necesario para una operación sólida y transparente mediante la autorización de su estructura organizacional. Además, es necesario contar con un manual o documentos de procedimientos con el objetivo de otorgar mayor claridad, ordenamiento, transparencia, certeza y posibilidad de cumplimiento a los procesos de la intervención</w:t>
      </w:r>
      <w:r w:rsidR="00CC0FAB">
        <w:rPr>
          <w:rFonts w:ascii="Cambria" w:eastAsia="Cambria" w:hAnsi="Cambria" w:cs="Cambria"/>
          <w:color w:val="000000"/>
        </w:rPr>
        <w:t>.</w:t>
      </w:r>
    </w:p>
    <w:p w14:paraId="2C455B77" w14:textId="77777777" w:rsidR="00614444" w:rsidRDefault="00614444" w:rsidP="00614444">
      <w:pPr>
        <w:pBdr>
          <w:top w:val="nil"/>
          <w:left w:val="nil"/>
          <w:bottom w:val="nil"/>
          <w:right w:val="nil"/>
          <w:between w:val="nil"/>
        </w:pBdr>
        <w:shd w:val="clear" w:color="auto" w:fill="D9D9D9"/>
        <w:spacing w:after="120" w:line="240" w:lineRule="auto"/>
        <w:jc w:val="both"/>
        <w:rPr>
          <w:rFonts w:ascii="Cambria" w:eastAsia="Cambria" w:hAnsi="Cambria" w:cs="Cambria"/>
          <w:b/>
          <w:i/>
          <w:color w:val="000000"/>
          <w:sz w:val="20"/>
          <w:szCs w:val="20"/>
        </w:rPr>
      </w:pPr>
      <w:r>
        <w:rPr>
          <w:rFonts w:ascii="Cambria" w:eastAsia="Cambria" w:hAnsi="Cambria" w:cs="Cambria"/>
          <w:b/>
          <w:i/>
          <w:color w:val="000000"/>
        </w:rPr>
        <w:t>Notas:</w:t>
      </w:r>
    </w:p>
    <w:p w14:paraId="7BD2A291"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 xml:space="preserve">El FARE deberá ser enviado a la UED y al Consejo, de conformidad con lo establecido en los numerales </w:t>
      </w:r>
      <w:r w:rsidRPr="00F41741">
        <w:rPr>
          <w:rFonts w:ascii="Cambria" w:hAnsi="Cambria"/>
          <w:i/>
          <w:color w:val="000000"/>
          <w:sz w:val="20"/>
        </w:rPr>
        <w:t>34 y 3</w:t>
      </w:r>
      <w:r w:rsidRPr="003F32CC">
        <w:rPr>
          <w:rFonts w:ascii="Cambria" w:hAnsi="Cambria"/>
          <w:i/>
          <w:color w:val="000000"/>
          <w:sz w:val="20"/>
        </w:rPr>
        <w:t>5</w:t>
      </w:r>
      <w:r>
        <w:rPr>
          <w:rFonts w:ascii="Cambria" w:eastAsia="Cambria" w:hAnsi="Cambria" w:cs="Cambria"/>
          <w:i/>
          <w:color w:val="000000"/>
          <w:sz w:val="20"/>
          <w:szCs w:val="20"/>
        </w:rPr>
        <w:t xml:space="preserve"> de este PAE, junto con el informe final de la evaluación.</w:t>
      </w:r>
    </w:p>
    <w:p w14:paraId="5AB399AC"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 xml:space="preserve">El FARE contiene la información señalada en el numeral Vigésimo Octavo de los Lineamientos Generales para la Evaluación de los Programas Federales de la Administración Pública Federal, con excepción de los incisos V, VI y VII. </w:t>
      </w:r>
    </w:p>
    <w:p w14:paraId="371B4536"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 xml:space="preserve"> El FARE constituye el principal insumo para integrar el informe trimestral al que hace referencia el artículo 107, fracción I, de la Ley Federal de Presupuesto y Responsabilidad Hacendaria (LFPRH).  </w:t>
      </w:r>
    </w:p>
    <w:p w14:paraId="2C3AE769"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El FARE constituye uno de los principales insumos para la integración del repositorio de evaluaciones que señala el artículo 303 Bis del Reglamento de la LFPRH.</w:t>
      </w:r>
    </w:p>
    <w:p w14:paraId="55A48B96" w14:textId="77777777" w:rsidR="00614444" w:rsidRDefault="00614444"/>
    <w:sectPr w:rsidR="00614444" w:rsidSect="000A3C98">
      <w:headerReference w:type="default" r:id="rId7"/>
      <w:pgSz w:w="12240" w:h="15840"/>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7C7A8" w14:textId="77777777" w:rsidR="004377C3" w:rsidRDefault="004377C3" w:rsidP="00CF49B9">
      <w:pPr>
        <w:spacing w:after="0" w:line="240" w:lineRule="auto"/>
      </w:pPr>
      <w:r>
        <w:separator/>
      </w:r>
    </w:p>
  </w:endnote>
  <w:endnote w:type="continuationSeparator" w:id="0">
    <w:p w14:paraId="34D108FB" w14:textId="77777777" w:rsidR="004377C3" w:rsidRDefault="004377C3" w:rsidP="00CF49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w:altName w:val="Montserrat"/>
    <w:charset w:val="00"/>
    <w:family w:val="auto"/>
    <w:pitch w:val="variable"/>
    <w:sig w:usb0="2000020F" w:usb1="00000003" w:usb2="00000000" w:usb3="00000000" w:csb0="00000197" w:csb1="00000000"/>
  </w:font>
  <w:font w:name="Soberana Sans">
    <w:altName w:val="Calibri"/>
    <w:panose1 w:val="00000000000000000000"/>
    <w:charset w:val="00"/>
    <w:family w:val="modern"/>
    <w:notTrueType/>
    <w:pitch w:val="variable"/>
    <w:sig w:usb0="800000AF" w:usb1="4000204B"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1CD5B" w14:textId="77777777" w:rsidR="004377C3" w:rsidRDefault="004377C3" w:rsidP="00CF49B9">
      <w:pPr>
        <w:spacing w:after="0" w:line="240" w:lineRule="auto"/>
      </w:pPr>
      <w:r>
        <w:separator/>
      </w:r>
    </w:p>
  </w:footnote>
  <w:footnote w:type="continuationSeparator" w:id="0">
    <w:p w14:paraId="5E821559" w14:textId="77777777" w:rsidR="004377C3" w:rsidRDefault="004377C3" w:rsidP="00CF49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59FA1" w14:textId="0B87D5DC" w:rsidR="00CF49B9" w:rsidRDefault="00CF49B9">
    <w:pPr>
      <w:pStyle w:val="Encabezado"/>
    </w:pPr>
    <w:r>
      <w:rPr>
        <w:noProof/>
      </w:rPr>
      <w:drawing>
        <wp:anchor distT="0" distB="0" distL="114300" distR="114300" simplePos="0" relativeHeight="251660288" behindDoc="0" locked="0" layoutInCell="1" hidden="0" allowOverlap="1" wp14:anchorId="25677BA9" wp14:editId="5B563B80">
          <wp:simplePos x="0" y="0"/>
          <wp:positionH relativeFrom="column">
            <wp:posOffset>4453255</wp:posOffset>
          </wp:positionH>
          <wp:positionV relativeFrom="paragraph">
            <wp:posOffset>-53018</wp:posOffset>
          </wp:positionV>
          <wp:extent cx="1168400" cy="444500"/>
          <wp:effectExtent l="0" t="0" r="0" b="0"/>
          <wp:wrapNone/>
          <wp:docPr id="7" name="image2.png" descr="Imagen que contiene Texto&#10;&#10;Descripción generada automáticamente"/>
          <wp:cNvGraphicFramePr/>
          <a:graphic xmlns:a="http://schemas.openxmlformats.org/drawingml/2006/main">
            <a:graphicData uri="http://schemas.openxmlformats.org/drawingml/2006/picture">
              <pic:pic xmlns:pic="http://schemas.openxmlformats.org/drawingml/2006/picture">
                <pic:nvPicPr>
                  <pic:cNvPr id="31" name="image2.png" descr="Imagen que contiene Texto&#10;&#10;Descripción generada automáticamente"/>
                  <pic:cNvPicPr preferRelativeResize="0"/>
                </pic:nvPicPr>
                <pic:blipFill>
                  <a:blip r:embed="rId1"/>
                  <a:srcRect/>
                  <a:stretch>
                    <a:fillRect/>
                  </a:stretch>
                </pic:blipFill>
                <pic:spPr>
                  <a:xfrm>
                    <a:off x="0" y="0"/>
                    <a:ext cx="1168400" cy="444500"/>
                  </a:xfrm>
                  <a:prstGeom prst="rect">
                    <a:avLst/>
                  </a:prstGeom>
                  <a:ln/>
                </pic:spPr>
              </pic:pic>
            </a:graphicData>
          </a:graphic>
        </wp:anchor>
      </w:drawing>
    </w:r>
    <w:r>
      <w:rPr>
        <w:noProof/>
        <w:color w:val="000000"/>
      </w:rPr>
      <w:drawing>
        <wp:anchor distT="0" distB="0" distL="114300" distR="114300" simplePos="0" relativeHeight="251658240" behindDoc="1" locked="0" layoutInCell="1" allowOverlap="1" wp14:anchorId="1A44E853" wp14:editId="1C52C1C3">
          <wp:simplePos x="0" y="0"/>
          <wp:positionH relativeFrom="column">
            <wp:posOffset>3175</wp:posOffset>
          </wp:positionH>
          <wp:positionV relativeFrom="paragraph">
            <wp:posOffset>-23078</wp:posOffset>
          </wp:positionV>
          <wp:extent cx="2304415" cy="494030"/>
          <wp:effectExtent l="0" t="0" r="635" b="1270"/>
          <wp:wrapTight wrapText="bothSides">
            <wp:wrapPolygon edited="0">
              <wp:start x="1071" y="0"/>
              <wp:lineTo x="0" y="3332"/>
              <wp:lineTo x="0" y="19990"/>
              <wp:lineTo x="1428" y="20823"/>
              <wp:lineTo x="3214" y="20823"/>
              <wp:lineTo x="21427" y="18324"/>
              <wp:lineTo x="21427" y="14159"/>
              <wp:lineTo x="20713" y="13326"/>
              <wp:lineTo x="20713" y="2499"/>
              <wp:lineTo x="3036" y="0"/>
              <wp:lineTo x="1071" y="0"/>
            </wp:wrapPolygon>
          </wp:wrapTight>
          <wp:docPr id="8" name="Imagen 8"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n 32" descr="Imagen que contiene Text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4415" cy="49403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5641F6"/>
    <w:multiLevelType w:val="multilevel"/>
    <w:tmpl w:val="67D23DE2"/>
    <w:lvl w:ilvl="0">
      <w:start w:val="1"/>
      <w:numFmt w:val="bullet"/>
      <w:lvlText w:val="•"/>
      <w:lvlJc w:val="left"/>
      <w:pPr>
        <w:ind w:left="1413" w:hanging="704"/>
      </w:pPr>
      <w:rPr>
        <w:rFonts w:ascii="Cambria" w:eastAsia="Cambria" w:hAnsi="Cambria" w:cs="Cambri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7917045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9B9"/>
    <w:rsid w:val="00012869"/>
    <w:rsid w:val="000A3C98"/>
    <w:rsid w:val="00127233"/>
    <w:rsid w:val="001A0924"/>
    <w:rsid w:val="002F2377"/>
    <w:rsid w:val="00314B51"/>
    <w:rsid w:val="00387A8D"/>
    <w:rsid w:val="003B4F36"/>
    <w:rsid w:val="003C7571"/>
    <w:rsid w:val="003E6F4D"/>
    <w:rsid w:val="003F2EAB"/>
    <w:rsid w:val="004377C3"/>
    <w:rsid w:val="00457862"/>
    <w:rsid w:val="004B2CF1"/>
    <w:rsid w:val="00503D22"/>
    <w:rsid w:val="005312EB"/>
    <w:rsid w:val="00532438"/>
    <w:rsid w:val="00534812"/>
    <w:rsid w:val="00547A90"/>
    <w:rsid w:val="00564D43"/>
    <w:rsid w:val="005674A3"/>
    <w:rsid w:val="005717C8"/>
    <w:rsid w:val="005D623F"/>
    <w:rsid w:val="005E0E62"/>
    <w:rsid w:val="005E15DD"/>
    <w:rsid w:val="005E7C8F"/>
    <w:rsid w:val="00614444"/>
    <w:rsid w:val="00630BE5"/>
    <w:rsid w:val="00646E06"/>
    <w:rsid w:val="0068549F"/>
    <w:rsid w:val="006963BD"/>
    <w:rsid w:val="006963D8"/>
    <w:rsid w:val="00720D89"/>
    <w:rsid w:val="00770106"/>
    <w:rsid w:val="007718C0"/>
    <w:rsid w:val="00786C38"/>
    <w:rsid w:val="007954FF"/>
    <w:rsid w:val="007965B3"/>
    <w:rsid w:val="007967FF"/>
    <w:rsid w:val="00820861"/>
    <w:rsid w:val="00846880"/>
    <w:rsid w:val="00856DF8"/>
    <w:rsid w:val="00875A45"/>
    <w:rsid w:val="0088018A"/>
    <w:rsid w:val="0088742F"/>
    <w:rsid w:val="008B67B6"/>
    <w:rsid w:val="008F400E"/>
    <w:rsid w:val="00957475"/>
    <w:rsid w:val="00963410"/>
    <w:rsid w:val="00967E31"/>
    <w:rsid w:val="009B2382"/>
    <w:rsid w:val="009F2133"/>
    <w:rsid w:val="00A24A2F"/>
    <w:rsid w:val="00A549BD"/>
    <w:rsid w:val="00A6651F"/>
    <w:rsid w:val="00A86DC3"/>
    <w:rsid w:val="00AA6C5C"/>
    <w:rsid w:val="00AE68F9"/>
    <w:rsid w:val="00AF469D"/>
    <w:rsid w:val="00B041D2"/>
    <w:rsid w:val="00B04AE2"/>
    <w:rsid w:val="00B112D0"/>
    <w:rsid w:val="00B23A0A"/>
    <w:rsid w:val="00B42149"/>
    <w:rsid w:val="00B42C5C"/>
    <w:rsid w:val="00B7670E"/>
    <w:rsid w:val="00B81ADE"/>
    <w:rsid w:val="00B9650F"/>
    <w:rsid w:val="00BA13CD"/>
    <w:rsid w:val="00BC3954"/>
    <w:rsid w:val="00C16422"/>
    <w:rsid w:val="00C522E5"/>
    <w:rsid w:val="00C82D4C"/>
    <w:rsid w:val="00CC0FAB"/>
    <w:rsid w:val="00CF49B9"/>
    <w:rsid w:val="00D743AA"/>
    <w:rsid w:val="00D94126"/>
    <w:rsid w:val="00DF5BC5"/>
    <w:rsid w:val="00E56094"/>
    <w:rsid w:val="00E8550D"/>
    <w:rsid w:val="00EA0137"/>
    <w:rsid w:val="00F15BE8"/>
    <w:rsid w:val="00F514F9"/>
    <w:rsid w:val="00F55A67"/>
    <w:rsid w:val="00FA4504"/>
    <w:rsid w:val="00FE2B9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BBA93"/>
  <w15:chartTrackingRefBased/>
  <w15:docId w15:val="{EBCB0C9D-83AA-4872-A96E-B5756B19C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F49B9"/>
    <w:pPr>
      <w:spacing w:after="200" w:line="276" w:lineRule="auto"/>
    </w:pPr>
    <w:rPr>
      <w:rFonts w:ascii="Calibri" w:eastAsia="Calibri" w:hAnsi="Calibri" w:cs="Calibri"/>
      <w:lang w:eastAsia="es-MX"/>
    </w:rPr>
  </w:style>
  <w:style w:type="paragraph" w:styleId="Ttulo2">
    <w:name w:val="heading 2"/>
    <w:basedOn w:val="Normal"/>
    <w:next w:val="Normal"/>
    <w:link w:val="Ttulo2Car"/>
    <w:rsid w:val="00CF49B9"/>
    <w:pPr>
      <w:keepNext/>
      <w:keepLines/>
      <w:spacing w:before="40" w:after="0"/>
      <w:jc w:val="center"/>
      <w:outlineLvl w:val="1"/>
    </w:pPr>
    <w:rPr>
      <w:rFonts w:ascii="Cambria" w:eastAsia="Cambria" w:hAnsi="Cambria" w:cs="Cambria"/>
      <w:b/>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CF49B9"/>
    <w:rPr>
      <w:rFonts w:ascii="Cambria" w:eastAsia="Cambria" w:hAnsi="Cambria" w:cs="Cambria"/>
      <w:b/>
      <w:i/>
      <w:lang w:eastAsia="es-MX"/>
    </w:rPr>
  </w:style>
  <w:style w:type="table" w:customStyle="1" w:styleId="1">
    <w:name w:val="1"/>
    <w:basedOn w:val="Tablanormal"/>
    <w:rsid w:val="00CF49B9"/>
    <w:pPr>
      <w:spacing w:after="200" w:line="276" w:lineRule="auto"/>
    </w:pPr>
    <w:rPr>
      <w:rFonts w:ascii="Calibri" w:eastAsia="Calibri" w:hAnsi="Calibri" w:cs="Calibri"/>
      <w:lang w:eastAsia="es-MX"/>
    </w:rPr>
    <w:tblPr>
      <w:tblStyleRowBandSize w:val="1"/>
      <w:tblStyleColBandSize w:val="1"/>
      <w:tblInd w:w="0" w:type="nil"/>
      <w:tblCellMar>
        <w:left w:w="115" w:type="dxa"/>
        <w:right w:w="115" w:type="dxa"/>
      </w:tblCellMar>
    </w:tblPr>
  </w:style>
  <w:style w:type="paragraph" w:styleId="Encabezado">
    <w:name w:val="header"/>
    <w:basedOn w:val="Normal"/>
    <w:link w:val="EncabezadoCar"/>
    <w:uiPriority w:val="99"/>
    <w:unhideWhenUsed/>
    <w:rsid w:val="00CF49B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F49B9"/>
    <w:rPr>
      <w:rFonts w:ascii="Calibri" w:eastAsia="Calibri" w:hAnsi="Calibri" w:cs="Calibri"/>
      <w:lang w:eastAsia="es-MX"/>
    </w:rPr>
  </w:style>
  <w:style w:type="paragraph" w:styleId="Piedepgina">
    <w:name w:val="footer"/>
    <w:basedOn w:val="Normal"/>
    <w:link w:val="PiedepginaCar"/>
    <w:uiPriority w:val="99"/>
    <w:unhideWhenUsed/>
    <w:rsid w:val="00CF49B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F49B9"/>
    <w:rPr>
      <w:rFonts w:ascii="Calibri" w:eastAsia="Calibri" w:hAnsi="Calibri" w:cs="Calibri"/>
      <w:lang w:eastAsia="es-MX"/>
    </w:rPr>
  </w:style>
  <w:style w:type="paragraph" w:customStyle="1" w:styleId="Default">
    <w:name w:val="Default"/>
    <w:rsid w:val="008F400E"/>
    <w:pPr>
      <w:autoSpaceDE w:val="0"/>
      <w:autoSpaceDN w:val="0"/>
      <w:adjustRightInd w:val="0"/>
      <w:spacing w:after="0" w:line="240" w:lineRule="auto"/>
    </w:pPr>
    <w:rPr>
      <w:rFonts w:ascii="Montserrat" w:hAnsi="Montserrat" w:cs="Montserrat"/>
      <w:color w:val="000000"/>
      <w:sz w:val="24"/>
      <w:szCs w:val="24"/>
    </w:rPr>
  </w:style>
  <w:style w:type="character" w:styleId="Refdecomentario">
    <w:name w:val="annotation reference"/>
    <w:basedOn w:val="Fuentedeprrafopredeter"/>
    <w:uiPriority w:val="99"/>
    <w:semiHidden/>
    <w:unhideWhenUsed/>
    <w:rsid w:val="00B112D0"/>
    <w:rPr>
      <w:sz w:val="16"/>
      <w:szCs w:val="16"/>
    </w:rPr>
  </w:style>
  <w:style w:type="paragraph" w:styleId="Textocomentario">
    <w:name w:val="annotation text"/>
    <w:basedOn w:val="Normal"/>
    <w:link w:val="TextocomentarioCar"/>
    <w:uiPriority w:val="99"/>
    <w:unhideWhenUsed/>
    <w:rsid w:val="00B112D0"/>
    <w:pPr>
      <w:spacing w:line="240" w:lineRule="auto"/>
    </w:pPr>
    <w:rPr>
      <w:sz w:val="20"/>
      <w:szCs w:val="20"/>
    </w:rPr>
  </w:style>
  <w:style w:type="character" w:customStyle="1" w:styleId="TextocomentarioCar">
    <w:name w:val="Texto comentario Car"/>
    <w:basedOn w:val="Fuentedeprrafopredeter"/>
    <w:link w:val="Textocomentario"/>
    <w:uiPriority w:val="99"/>
    <w:rsid w:val="00B112D0"/>
    <w:rPr>
      <w:rFonts w:ascii="Calibri" w:eastAsia="Calibri" w:hAnsi="Calibri" w:cs="Calibri"/>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B112D0"/>
    <w:rPr>
      <w:b/>
      <w:bCs/>
    </w:rPr>
  </w:style>
  <w:style w:type="character" w:customStyle="1" w:styleId="AsuntodelcomentarioCar">
    <w:name w:val="Asunto del comentario Car"/>
    <w:basedOn w:val="TextocomentarioCar"/>
    <w:link w:val="Asuntodelcomentario"/>
    <w:uiPriority w:val="99"/>
    <w:semiHidden/>
    <w:rsid w:val="00B112D0"/>
    <w:rPr>
      <w:rFonts w:ascii="Calibri" w:eastAsia="Calibri" w:hAnsi="Calibri" w:cs="Calibri"/>
      <w:b/>
      <w:bCs/>
      <w:sz w:val="20"/>
      <w:szCs w:val="20"/>
      <w:lang w:eastAsia="es-MX"/>
    </w:rPr>
  </w:style>
  <w:style w:type="paragraph" w:styleId="Revisin">
    <w:name w:val="Revision"/>
    <w:hidden/>
    <w:uiPriority w:val="99"/>
    <w:semiHidden/>
    <w:rsid w:val="00B04AE2"/>
    <w:pPr>
      <w:spacing w:after="0" w:line="240" w:lineRule="auto"/>
    </w:pPr>
    <w:rPr>
      <w:rFonts w:ascii="Calibri" w:eastAsia="Calibri" w:hAnsi="Calibri" w:cs="Calibri"/>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48238">
      <w:bodyDiv w:val="1"/>
      <w:marLeft w:val="0"/>
      <w:marRight w:val="0"/>
      <w:marTop w:val="0"/>
      <w:marBottom w:val="0"/>
      <w:divBdr>
        <w:top w:val="none" w:sz="0" w:space="0" w:color="auto"/>
        <w:left w:val="none" w:sz="0" w:space="0" w:color="auto"/>
        <w:bottom w:val="none" w:sz="0" w:space="0" w:color="auto"/>
        <w:right w:val="none" w:sz="0" w:space="0" w:color="auto"/>
      </w:divBdr>
    </w:div>
    <w:div w:id="256520052">
      <w:bodyDiv w:val="1"/>
      <w:marLeft w:val="0"/>
      <w:marRight w:val="0"/>
      <w:marTop w:val="0"/>
      <w:marBottom w:val="0"/>
      <w:divBdr>
        <w:top w:val="none" w:sz="0" w:space="0" w:color="auto"/>
        <w:left w:val="none" w:sz="0" w:space="0" w:color="auto"/>
        <w:bottom w:val="none" w:sz="0" w:space="0" w:color="auto"/>
        <w:right w:val="none" w:sz="0" w:space="0" w:color="auto"/>
      </w:divBdr>
    </w:div>
    <w:div w:id="293608222">
      <w:bodyDiv w:val="1"/>
      <w:marLeft w:val="0"/>
      <w:marRight w:val="0"/>
      <w:marTop w:val="0"/>
      <w:marBottom w:val="0"/>
      <w:divBdr>
        <w:top w:val="none" w:sz="0" w:space="0" w:color="auto"/>
        <w:left w:val="none" w:sz="0" w:space="0" w:color="auto"/>
        <w:bottom w:val="none" w:sz="0" w:space="0" w:color="auto"/>
        <w:right w:val="none" w:sz="0" w:space="0" w:color="auto"/>
      </w:divBdr>
    </w:div>
    <w:div w:id="366832201">
      <w:bodyDiv w:val="1"/>
      <w:marLeft w:val="0"/>
      <w:marRight w:val="0"/>
      <w:marTop w:val="0"/>
      <w:marBottom w:val="0"/>
      <w:divBdr>
        <w:top w:val="none" w:sz="0" w:space="0" w:color="auto"/>
        <w:left w:val="none" w:sz="0" w:space="0" w:color="auto"/>
        <w:bottom w:val="none" w:sz="0" w:space="0" w:color="auto"/>
        <w:right w:val="none" w:sz="0" w:space="0" w:color="auto"/>
      </w:divBdr>
    </w:div>
    <w:div w:id="700983836">
      <w:bodyDiv w:val="1"/>
      <w:marLeft w:val="0"/>
      <w:marRight w:val="0"/>
      <w:marTop w:val="0"/>
      <w:marBottom w:val="0"/>
      <w:divBdr>
        <w:top w:val="none" w:sz="0" w:space="0" w:color="auto"/>
        <w:left w:val="none" w:sz="0" w:space="0" w:color="auto"/>
        <w:bottom w:val="none" w:sz="0" w:space="0" w:color="auto"/>
        <w:right w:val="none" w:sz="0" w:space="0" w:color="auto"/>
      </w:divBdr>
    </w:div>
    <w:div w:id="778918494">
      <w:bodyDiv w:val="1"/>
      <w:marLeft w:val="0"/>
      <w:marRight w:val="0"/>
      <w:marTop w:val="0"/>
      <w:marBottom w:val="0"/>
      <w:divBdr>
        <w:top w:val="none" w:sz="0" w:space="0" w:color="auto"/>
        <w:left w:val="none" w:sz="0" w:space="0" w:color="auto"/>
        <w:bottom w:val="none" w:sz="0" w:space="0" w:color="auto"/>
        <w:right w:val="none" w:sz="0" w:space="0" w:color="auto"/>
      </w:divBdr>
    </w:div>
    <w:div w:id="905644933">
      <w:bodyDiv w:val="1"/>
      <w:marLeft w:val="0"/>
      <w:marRight w:val="0"/>
      <w:marTop w:val="0"/>
      <w:marBottom w:val="0"/>
      <w:divBdr>
        <w:top w:val="none" w:sz="0" w:space="0" w:color="auto"/>
        <w:left w:val="none" w:sz="0" w:space="0" w:color="auto"/>
        <w:bottom w:val="none" w:sz="0" w:space="0" w:color="auto"/>
        <w:right w:val="none" w:sz="0" w:space="0" w:color="auto"/>
      </w:divBdr>
    </w:div>
    <w:div w:id="1724283937">
      <w:bodyDiv w:val="1"/>
      <w:marLeft w:val="0"/>
      <w:marRight w:val="0"/>
      <w:marTop w:val="0"/>
      <w:marBottom w:val="0"/>
      <w:divBdr>
        <w:top w:val="none" w:sz="0" w:space="0" w:color="auto"/>
        <w:left w:val="none" w:sz="0" w:space="0" w:color="auto"/>
        <w:bottom w:val="none" w:sz="0" w:space="0" w:color="auto"/>
        <w:right w:val="none" w:sz="0" w:space="0" w:color="auto"/>
      </w:divBdr>
    </w:div>
    <w:div w:id="186517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1151</Words>
  <Characters>6332</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Evelyn J.V.</dc:creator>
  <cp:keywords/>
  <dc:description/>
  <cp:lastModifiedBy>Carolina Maldonado Carreño</cp:lastModifiedBy>
  <cp:revision>3</cp:revision>
  <dcterms:created xsi:type="dcterms:W3CDTF">2023-01-13T00:42:00Z</dcterms:created>
  <dcterms:modified xsi:type="dcterms:W3CDTF">2023-01-13T00:46:00Z</dcterms:modified>
</cp:coreProperties>
</file>